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DA87" w14:textId="23F58E3D" w:rsidR="00DF150F" w:rsidRPr="00DC7523" w:rsidRDefault="00DB2BA7">
      <w:pPr>
        <w:rPr>
          <w:rFonts w:ascii="Segoe UI" w:hAnsi="Segoe UI" w:cs="Segoe UI"/>
        </w:rPr>
      </w:pPr>
      <w:r w:rsidRPr="00DC7523">
        <w:rPr>
          <w:rFonts w:ascii="Segoe UI" w:hAnsi="Segoe UI" w:cs="Segoe UI"/>
          <w:noProof/>
        </w:rPr>
        <w:drawing>
          <wp:anchor distT="0" distB="0" distL="114300" distR="114300" simplePos="0" relativeHeight="251665408" behindDoc="1" locked="0" layoutInCell="1" allowOverlap="1" wp14:anchorId="3E1A703F" wp14:editId="38C01A25">
            <wp:simplePos x="0" y="0"/>
            <wp:positionH relativeFrom="page">
              <wp:posOffset>19049</wp:posOffset>
            </wp:positionH>
            <wp:positionV relativeFrom="page">
              <wp:align>top</wp:align>
            </wp:positionV>
            <wp:extent cx="7562108" cy="10688105"/>
            <wp:effectExtent l="0" t="0" r="1270" b="0"/>
            <wp:wrapNone/>
            <wp:docPr id="1705129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29664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108" cy="106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5B2E9" w14:textId="77777777" w:rsidR="004041B3" w:rsidRPr="00DC7523" w:rsidRDefault="004041B3">
      <w:pPr>
        <w:rPr>
          <w:rFonts w:ascii="Segoe UI" w:hAnsi="Segoe UI" w:cs="Segoe UI"/>
        </w:rPr>
      </w:pPr>
    </w:p>
    <w:p w14:paraId="7B76122B" w14:textId="77777777" w:rsidR="004041B3" w:rsidRPr="00DC7523" w:rsidRDefault="004041B3">
      <w:pPr>
        <w:rPr>
          <w:rFonts w:ascii="Segoe UI" w:hAnsi="Segoe UI" w:cs="Segoe UI"/>
        </w:rPr>
      </w:pPr>
    </w:p>
    <w:p w14:paraId="5AF856E1" w14:textId="7C4270DC" w:rsidR="004041B3" w:rsidRPr="00DC7523" w:rsidRDefault="004041B3">
      <w:pPr>
        <w:rPr>
          <w:rFonts w:ascii="Segoe UI" w:hAnsi="Segoe UI" w:cs="Segoe UI"/>
        </w:rPr>
      </w:pPr>
    </w:p>
    <w:p w14:paraId="57A1FDAC" w14:textId="77777777" w:rsidR="004041B3" w:rsidRPr="00DC7523" w:rsidRDefault="004041B3">
      <w:pPr>
        <w:rPr>
          <w:rFonts w:ascii="Segoe UI" w:hAnsi="Segoe UI" w:cs="Segoe UI"/>
        </w:rPr>
      </w:pPr>
    </w:p>
    <w:p w14:paraId="5DC5BC38" w14:textId="104D900F" w:rsidR="004041B3" w:rsidRPr="00DC7523" w:rsidRDefault="004041B3">
      <w:pPr>
        <w:rPr>
          <w:rFonts w:ascii="Segoe UI" w:hAnsi="Segoe UI" w:cs="Segoe UI"/>
        </w:rPr>
      </w:pPr>
    </w:p>
    <w:p w14:paraId="7A1472D8" w14:textId="77777777" w:rsidR="004041B3" w:rsidRPr="00DC7523" w:rsidRDefault="004041B3">
      <w:pPr>
        <w:rPr>
          <w:rFonts w:ascii="Segoe UI" w:hAnsi="Segoe UI" w:cs="Segoe UI"/>
        </w:rPr>
      </w:pPr>
    </w:p>
    <w:p w14:paraId="37687940" w14:textId="77777777" w:rsidR="004041B3" w:rsidRPr="00DC7523" w:rsidRDefault="004041B3">
      <w:pPr>
        <w:rPr>
          <w:rFonts w:ascii="Segoe UI" w:hAnsi="Segoe UI" w:cs="Segoe UI"/>
        </w:rPr>
      </w:pPr>
    </w:p>
    <w:p w14:paraId="2CBBBBAC" w14:textId="77777777" w:rsidR="004041B3" w:rsidRPr="00DC7523" w:rsidRDefault="004041B3">
      <w:pPr>
        <w:rPr>
          <w:rFonts w:ascii="Segoe UI" w:hAnsi="Segoe UI" w:cs="Segoe UI"/>
        </w:rPr>
      </w:pPr>
    </w:p>
    <w:p w14:paraId="6EE950C2" w14:textId="4E50397A" w:rsidR="004041B3" w:rsidRPr="00DC7523" w:rsidRDefault="004041B3">
      <w:pPr>
        <w:rPr>
          <w:rFonts w:ascii="Segoe UI" w:hAnsi="Segoe UI" w:cs="Segoe UI"/>
        </w:rPr>
      </w:pPr>
    </w:p>
    <w:p w14:paraId="38B53480" w14:textId="77777777" w:rsidR="004041B3" w:rsidRPr="00DC7523" w:rsidRDefault="004041B3">
      <w:pPr>
        <w:rPr>
          <w:rFonts w:ascii="Segoe UI" w:hAnsi="Segoe UI" w:cs="Segoe UI"/>
        </w:rPr>
      </w:pPr>
    </w:p>
    <w:p w14:paraId="4E888EF2" w14:textId="77777777" w:rsidR="004041B3" w:rsidRPr="00DC7523" w:rsidRDefault="004041B3">
      <w:pPr>
        <w:rPr>
          <w:rFonts w:ascii="Segoe UI" w:hAnsi="Segoe UI" w:cs="Segoe UI"/>
        </w:rPr>
      </w:pPr>
    </w:p>
    <w:p w14:paraId="30547C32" w14:textId="77777777" w:rsidR="004041B3" w:rsidRPr="00DC7523" w:rsidRDefault="004041B3">
      <w:pPr>
        <w:rPr>
          <w:rFonts w:ascii="Segoe UI" w:hAnsi="Segoe UI" w:cs="Segoe UI"/>
        </w:rPr>
      </w:pPr>
    </w:p>
    <w:p w14:paraId="491DD1AB" w14:textId="77777777" w:rsidR="004041B3" w:rsidRPr="00DC7523" w:rsidRDefault="004041B3">
      <w:pPr>
        <w:rPr>
          <w:rFonts w:ascii="Segoe UI" w:hAnsi="Segoe UI" w:cs="Segoe UI"/>
        </w:rPr>
      </w:pPr>
    </w:p>
    <w:p w14:paraId="0A44CC9E" w14:textId="77777777" w:rsidR="004041B3" w:rsidRPr="00DC7523" w:rsidRDefault="004041B3">
      <w:pPr>
        <w:rPr>
          <w:rFonts w:ascii="Segoe UI" w:hAnsi="Segoe UI" w:cs="Segoe UI"/>
        </w:rPr>
      </w:pPr>
    </w:p>
    <w:p w14:paraId="6E423827" w14:textId="77777777" w:rsidR="004041B3" w:rsidRPr="00DC7523" w:rsidRDefault="004041B3">
      <w:pPr>
        <w:rPr>
          <w:rFonts w:ascii="Segoe UI" w:hAnsi="Segoe UI" w:cs="Segoe UI"/>
        </w:rPr>
      </w:pPr>
    </w:p>
    <w:p w14:paraId="7A342003" w14:textId="77777777" w:rsidR="004041B3" w:rsidRPr="00DC7523" w:rsidRDefault="004041B3">
      <w:pPr>
        <w:rPr>
          <w:rFonts w:ascii="Segoe UI" w:hAnsi="Segoe UI" w:cs="Segoe UI"/>
        </w:rPr>
      </w:pPr>
    </w:p>
    <w:p w14:paraId="3B2A068C" w14:textId="25218551" w:rsidR="004041B3" w:rsidRPr="00DC7523" w:rsidRDefault="004041B3">
      <w:pPr>
        <w:rPr>
          <w:rFonts w:ascii="Segoe UI" w:hAnsi="Segoe UI" w:cs="Segoe UI"/>
        </w:rPr>
      </w:pPr>
    </w:p>
    <w:p w14:paraId="6FE08400" w14:textId="77777777" w:rsidR="004041B3" w:rsidRPr="00DC7523" w:rsidRDefault="004041B3">
      <w:pPr>
        <w:rPr>
          <w:rFonts w:ascii="Segoe UI" w:hAnsi="Segoe UI" w:cs="Segoe UI"/>
        </w:rPr>
      </w:pPr>
    </w:p>
    <w:p w14:paraId="6E0B48C8" w14:textId="0B1F44A9" w:rsidR="004041B3" w:rsidRPr="00DC7523" w:rsidRDefault="004041B3">
      <w:pPr>
        <w:rPr>
          <w:rFonts w:ascii="Segoe UI" w:hAnsi="Segoe UI" w:cs="Segoe UI"/>
        </w:rPr>
      </w:pPr>
    </w:p>
    <w:p w14:paraId="4A2531B4" w14:textId="77777777" w:rsidR="004041B3" w:rsidRPr="00DC7523" w:rsidRDefault="004041B3">
      <w:pPr>
        <w:rPr>
          <w:rFonts w:ascii="Segoe UI" w:hAnsi="Segoe UI" w:cs="Segoe UI"/>
        </w:rPr>
      </w:pPr>
    </w:p>
    <w:p w14:paraId="2061C507" w14:textId="77777777" w:rsidR="004041B3" w:rsidRPr="00DC7523" w:rsidRDefault="004041B3">
      <w:pPr>
        <w:rPr>
          <w:rFonts w:ascii="Segoe UI" w:hAnsi="Segoe UI" w:cs="Segoe UI"/>
        </w:rPr>
      </w:pPr>
    </w:p>
    <w:p w14:paraId="0FDADD54" w14:textId="77777777" w:rsidR="004041B3" w:rsidRPr="00DC7523" w:rsidRDefault="004041B3">
      <w:pPr>
        <w:rPr>
          <w:rFonts w:ascii="Segoe UI" w:hAnsi="Segoe UI" w:cs="Segoe UI"/>
        </w:rPr>
      </w:pPr>
    </w:p>
    <w:p w14:paraId="1F588A86" w14:textId="77777777" w:rsidR="004041B3" w:rsidRPr="00DC7523" w:rsidRDefault="004041B3">
      <w:pPr>
        <w:rPr>
          <w:rFonts w:ascii="Segoe UI" w:hAnsi="Segoe UI" w:cs="Segoe UI"/>
        </w:rPr>
      </w:pPr>
    </w:p>
    <w:p w14:paraId="48B4FCCB" w14:textId="77777777" w:rsidR="004041B3" w:rsidRPr="00DC7523" w:rsidRDefault="004041B3">
      <w:pPr>
        <w:rPr>
          <w:rFonts w:ascii="Segoe UI" w:hAnsi="Segoe UI" w:cs="Segoe UI"/>
        </w:rPr>
      </w:pPr>
    </w:p>
    <w:p w14:paraId="1C147220" w14:textId="77777777" w:rsidR="004041B3" w:rsidRPr="00DC7523" w:rsidRDefault="004041B3">
      <w:pPr>
        <w:rPr>
          <w:rFonts w:ascii="Segoe UI" w:hAnsi="Segoe UI" w:cs="Segoe UI"/>
        </w:rPr>
      </w:pPr>
    </w:p>
    <w:p w14:paraId="3FA20C65" w14:textId="77777777" w:rsidR="004041B3" w:rsidRPr="00DC7523" w:rsidRDefault="004041B3">
      <w:pPr>
        <w:rPr>
          <w:rFonts w:ascii="Segoe UI" w:hAnsi="Segoe UI" w:cs="Segoe UI"/>
        </w:rPr>
      </w:pPr>
    </w:p>
    <w:p w14:paraId="2ACDB3EE" w14:textId="77777777" w:rsidR="004041B3" w:rsidRPr="00DC7523" w:rsidRDefault="004041B3">
      <w:pPr>
        <w:rPr>
          <w:rFonts w:ascii="Segoe UI" w:hAnsi="Segoe UI" w:cs="Segoe UI"/>
        </w:rPr>
      </w:pPr>
    </w:p>
    <w:p w14:paraId="33974A8D" w14:textId="77777777" w:rsidR="004041B3" w:rsidRPr="00DC7523" w:rsidRDefault="004041B3">
      <w:pPr>
        <w:rPr>
          <w:rFonts w:ascii="Segoe UI" w:hAnsi="Segoe UI" w:cs="Segoe UI"/>
        </w:rPr>
      </w:pPr>
    </w:p>
    <w:p w14:paraId="6C3C9329" w14:textId="77777777" w:rsidR="004041B3" w:rsidRPr="00DC7523" w:rsidRDefault="004041B3">
      <w:pPr>
        <w:rPr>
          <w:rFonts w:ascii="Segoe UI" w:hAnsi="Segoe UI" w:cs="Segoe UI"/>
        </w:rPr>
      </w:pPr>
    </w:p>
    <w:p w14:paraId="292951CD" w14:textId="77777777" w:rsidR="004041B3" w:rsidRPr="00DC7523" w:rsidRDefault="004041B3">
      <w:pPr>
        <w:rPr>
          <w:rFonts w:ascii="Segoe UI" w:hAnsi="Segoe UI" w:cs="Segoe UI"/>
        </w:rPr>
      </w:pPr>
    </w:p>
    <w:p w14:paraId="7B199959" w14:textId="79BC1A1D" w:rsidR="00C4124D" w:rsidRPr="00DC7523" w:rsidRDefault="007F3910" w:rsidP="00CC5AE7">
      <w:pPr>
        <w:rPr>
          <w:rFonts w:ascii="Segoe UI" w:hAnsi="Segoe UI" w:cs="Segoe UI"/>
          <w:color w:val="2933D6"/>
          <w:sz w:val="72"/>
          <w:szCs w:val="72"/>
        </w:rPr>
      </w:pPr>
      <w:r w:rsidRPr="00DC7523">
        <w:rPr>
          <w:rFonts w:ascii="Segoe UI" w:hAnsi="Segoe UI" w:cs="Segoe UI"/>
          <w:noProof/>
          <w:color w:val="2933D6"/>
          <w:sz w:val="72"/>
          <w:szCs w:val="72"/>
        </w:rPr>
        <w:drawing>
          <wp:anchor distT="0" distB="0" distL="114300" distR="114300" simplePos="0" relativeHeight="251657215" behindDoc="1" locked="0" layoutInCell="1" allowOverlap="1" wp14:anchorId="08603E51" wp14:editId="2DA70EC5">
            <wp:simplePos x="0" y="0"/>
            <wp:positionH relativeFrom="page">
              <wp:posOffset>19050</wp:posOffset>
            </wp:positionH>
            <wp:positionV relativeFrom="page">
              <wp:posOffset>4227</wp:posOffset>
            </wp:positionV>
            <wp:extent cx="7548641" cy="10669070"/>
            <wp:effectExtent l="0" t="0" r="0" b="0"/>
            <wp:wrapNone/>
            <wp:docPr id="15064270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427011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641" cy="1066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991C9" w14:textId="4545BFFC" w:rsidR="007F3910" w:rsidRPr="00A33285" w:rsidRDefault="00934460" w:rsidP="007F3910">
      <w:pPr>
        <w:spacing w:line="240" w:lineRule="auto"/>
        <w:rPr>
          <w:rFonts w:ascii="Segoe UI" w:hAnsi="Segoe UI" w:cs="Segoe UI"/>
          <w:color w:val="2933D6"/>
          <w:sz w:val="106"/>
          <w:szCs w:val="106"/>
        </w:rPr>
      </w:pPr>
      <w:r w:rsidRPr="00A33285">
        <w:rPr>
          <w:rFonts w:ascii="Segoe UI" w:hAnsi="Segoe UI" w:cs="Segoe UI"/>
          <w:color w:val="2933D6"/>
          <w:sz w:val="106"/>
          <w:szCs w:val="106"/>
        </w:rPr>
        <w:t>Uputstvo za primenu sistema dinamične nabavke</w:t>
      </w:r>
    </w:p>
    <w:p w14:paraId="16DA84B8" w14:textId="77777777" w:rsidR="007F3910" w:rsidRPr="00DC7523" w:rsidRDefault="007F3910" w:rsidP="00CC5AE7">
      <w:pPr>
        <w:rPr>
          <w:rFonts w:ascii="Segoe UI" w:hAnsi="Segoe UI" w:cs="Segoe UI"/>
          <w:color w:val="2933D6"/>
          <w:sz w:val="72"/>
          <w:szCs w:val="72"/>
        </w:rPr>
      </w:pPr>
    </w:p>
    <w:p w14:paraId="37ADA4B9" w14:textId="77777777" w:rsidR="007F3910" w:rsidRPr="00DC7523" w:rsidRDefault="007F3910" w:rsidP="00CC5AE7">
      <w:pPr>
        <w:rPr>
          <w:rFonts w:ascii="Segoe UI" w:hAnsi="Segoe UI" w:cs="Segoe UI"/>
          <w:color w:val="2933D6"/>
          <w:sz w:val="72"/>
          <w:szCs w:val="72"/>
        </w:rPr>
      </w:pPr>
    </w:p>
    <w:p w14:paraId="0B719D0C" w14:textId="77777777" w:rsidR="008E3691" w:rsidRDefault="008E3691" w:rsidP="00222EAD">
      <w:pPr>
        <w:pStyle w:val="Heading1"/>
        <w:rPr>
          <w:rFonts w:ascii="Segoe UI Emoji" w:hAnsi="Segoe UI Emoji"/>
          <w:sz w:val="80"/>
          <w:szCs w:val="80"/>
        </w:rPr>
        <w:sectPr w:rsidR="008E3691" w:rsidSect="00831ED2">
          <w:footerReference w:type="default" r:id="rId10"/>
          <w:pgSz w:w="11906" w:h="16838"/>
          <w:pgMar w:top="1440" w:right="1440" w:bottom="1440" w:left="1440" w:header="708" w:footer="454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sr-Latn-RS"/>
          <w14:ligatures w14:val="standardContextual"/>
        </w:rPr>
        <w:id w:val="18067348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607989D" w14:textId="7E81172C" w:rsidR="008E3691" w:rsidRDefault="008E3691">
          <w:pPr>
            <w:pStyle w:val="TOCHeading"/>
          </w:pPr>
          <w:r>
            <w:t>SADRŽAJ</w:t>
          </w:r>
          <w:bookmarkStart w:id="0" w:name="_GoBack"/>
          <w:bookmarkEnd w:id="0"/>
        </w:p>
        <w:p w14:paraId="5AF22CB3" w14:textId="411BFC4A" w:rsidR="00EB25A1" w:rsidRPr="00EB25A1" w:rsidRDefault="008E36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0"/>
              <w:lang w:val="en-US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435395" w:history="1">
            <w:r w:rsidR="00EB25A1" w:rsidRPr="00EB25A1">
              <w:rPr>
                <w:rStyle w:val="Hyperlink"/>
                <w:rFonts w:ascii="Segoe UI Emoji" w:hAnsi="Segoe UI Emoji"/>
                <w:noProof/>
              </w:rPr>
              <w:t>Uvod</w:t>
            </w:r>
            <w:r w:rsidR="00EB25A1" w:rsidRPr="00EB25A1">
              <w:rPr>
                <w:noProof/>
                <w:webHidden/>
              </w:rPr>
              <w:tab/>
            </w:r>
            <w:r w:rsidR="00EB25A1" w:rsidRPr="00EB25A1">
              <w:rPr>
                <w:noProof/>
                <w:webHidden/>
              </w:rPr>
              <w:fldChar w:fldCharType="begin"/>
            </w:r>
            <w:r w:rsidR="00EB25A1" w:rsidRPr="00EB25A1">
              <w:rPr>
                <w:noProof/>
                <w:webHidden/>
              </w:rPr>
              <w:instrText xml:space="preserve"> PAGEREF _Toc183435395 \h </w:instrText>
            </w:r>
            <w:r w:rsidR="00EB25A1" w:rsidRPr="00EB25A1">
              <w:rPr>
                <w:noProof/>
                <w:webHidden/>
              </w:rPr>
            </w:r>
            <w:r w:rsidR="00EB25A1" w:rsidRPr="00EB25A1">
              <w:rPr>
                <w:noProof/>
                <w:webHidden/>
              </w:rPr>
              <w:fldChar w:fldCharType="separate"/>
            </w:r>
            <w:r w:rsidR="00CC09B9">
              <w:rPr>
                <w:noProof/>
                <w:webHidden/>
              </w:rPr>
              <w:t>4</w:t>
            </w:r>
            <w:r w:rsidR="00EB25A1" w:rsidRPr="00EB25A1">
              <w:rPr>
                <w:noProof/>
                <w:webHidden/>
              </w:rPr>
              <w:fldChar w:fldCharType="end"/>
            </w:r>
          </w:hyperlink>
        </w:p>
        <w:p w14:paraId="17A9AF17" w14:textId="714653C4" w:rsidR="00EB25A1" w:rsidRPr="00EB25A1" w:rsidRDefault="0007499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0"/>
              <w:lang w:val="en-US"/>
              <w14:ligatures w14:val="none"/>
            </w:rPr>
          </w:pPr>
          <w:hyperlink w:anchor="_Toc183435396" w:history="1">
            <w:r w:rsidR="00EB25A1" w:rsidRPr="00EB25A1">
              <w:rPr>
                <w:rStyle w:val="Hyperlink"/>
                <w:rFonts w:ascii="Segoe UI Emoji" w:hAnsi="Segoe UI Emoji"/>
                <w:noProof/>
              </w:rPr>
              <w:t>Opšti pregled SDN</w:t>
            </w:r>
            <w:r w:rsidR="00C83166">
              <w:rPr>
                <w:rStyle w:val="Hyperlink"/>
                <w:rFonts w:ascii="Segoe UI Emoji" w:hAnsi="Segoe UI Emoji"/>
                <w:noProof/>
              </w:rPr>
              <w:t>-a</w:t>
            </w:r>
            <w:r w:rsidR="00EB25A1" w:rsidRPr="00EB25A1">
              <w:rPr>
                <w:noProof/>
                <w:webHidden/>
              </w:rPr>
              <w:tab/>
            </w:r>
            <w:r w:rsidR="00EB25A1" w:rsidRPr="00EB25A1">
              <w:rPr>
                <w:noProof/>
                <w:webHidden/>
              </w:rPr>
              <w:fldChar w:fldCharType="begin"/>
            </w:r>
            <w:r w:rsidR="00EB25A1" w:rsidRPr="00EB25A1">
              <w:rPr>
                <w:noProof/>
                <w:webHidden/>
              </w:rPr>
              <w:instrText xml:space="preserve"> PAGEREF _Toc183435396 \h </w:instrText>
            </w:r>
            <w:r w:rsidR="00EB25A1" w:rsidRPr="00EB25A1">
              <w:rPr>
                <w:noProof/>
                <w:webHidden/>
              </w:rPr>
            </w:r>
            <w:r w:rsidR="00EB25A1" w:rsidRPr="00EB25A1">
              <w:rPr>
                <w:noProof/>
                <w:webHidden/>
              </w:rPr>
              <w:fldChar w:fldCharType="separate"/>
            </w:r>
            <w:r w:rsidR="00CC09B9">
              <w:rPr>
                <w:noProof/>
                <w:webHidden/>
              </w:rPr>
              <w:t>5</w:t>
            </w:r>
            <w:r w:rsidR="00EB25A1" w:rsidRPr="00EB25A1">
              <w:rPr>
                <w:noProof/>
                <w:webHidden/>
              </w:rPr>
              <w:fldChar w:fldCharType="end"/>
            </w:r>
          </w:hyperlink>
        </w:p>
        <w:p w14:paraId="63AEB396" w14:textId="7E1CF68F" w:rsidR="00EB25A1" w:rsidRPr="00EB25A1" w:rsidRDefault="0007499C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kern w:val="0"/>
              <w:lang w:val="en-US"/>
              <w14:ligatures w14:val="none"/>
            </w:rPr>
          </w:pPr>
          <w:hyperlink w:anchor="_Toc183435397" w:history="1">
            <w:r w:rsidR="00EB25A1" w:rsidRPr="00EB25A1">
              <w:rPr>
                <w:rStyle w:val="Hyperlink"/>
                <w:rFonts w:ascii="Segoe UI" w:hAnsi="Segoe UI" w:cs="Segoe UI"/>
                <w:bCs/>
                <w:noProof/>
              </w:rPr>
              <w:t>1.</w:t>
            </w:r>
            <w:r w:rsidR="00EB25A1" w:rsidRPr="00EB25A1">
              <w:rPr>
                <w:rFonts w:eastAsiaTheme="minorEastAsia"/>
                <w:noProof/>
                <w:kern w:val="0"/>
                <w:lang w:val="en-US"/>
                <w14:ligatures w14:val="none"/>
              </w:rPr>
              <w:tab/>
            </w:r>
            <w:r w:rsidR="00EB25A1" w:rsidRPr="00EB25A1">
              <w:rPr>
                <w:rStyle w:val="Hyperlink"/>
                <w:rFonts w:ascii="Segoe UI" w:hAnsi="Segoe UI" w:cs="Segoe UI"/>
                <w:bCs/>
                <w:noProof/>
              </w:rPr>
              <w:t>Zakonodavni okvir i svrha SDN-a</w:t>
            </w:r>
            <w:r w:rsidR="00EB25A1" w:rsidRPr="00EB25A1">
              <w:rPr>
                <w:noProof/>
                <w:webHidden/>
              </w:rPr>
              <w:tab/>
            </w:r>
            <w:r w:rsidR="00EB25A1" w:rsidRPr="00EB25A1">
              <w:rPr>
                <w:noProof/>
                <w:webHidden/>
              </w:rPr>
              <w:fldChar w:fldCharType="begin"/>
            </w:r>
            <w:r w:rsidR="00EB25A1" w:rsidRPr="00EB25A1">
              <w:rPr>
                <w:noProof/>
                <w:webHidden/>
              </w:rPr>
              <w:instrText xml:space="preserve"> PAGEREF _Toc183435397 \h </w:instrText>
            </w:r>
            <w:r w:rsidR="00EB25A1" w:rsidRPr="00EB25A1">
              <w:rPr>
                <w:noProof/>
                <w:webHidden/>
              </w:rPr>
            </w:r>
            <w:r w:rsidR="00EB25A1" w:rsidRPr="00EB25A1">
              <w:rPr>
                <w:noProof/>
                <w:webHidden/>
              </w:rPr>
              <w:fldChar w:fldCharType="separate"/>
            </w:r>
            <w:r w:rsidR="00CC09B9">
              <w:rPr>
                <w:noProof/>
                <w:webHidden/>
              </w:rPr>
              <w:t>5</w:t>
            </w:r>
            <w:r w:rsidR="00EB25A1" w:rsidRPr="00EB25A1">
              <w:rPr>
                <w:noProof/>
                <w:webHidden/>
              </w:rPr>
              <w:fldChar w:fldCharType="end"/>
            </w:r>
          </w:hyperlink>
        </w:p>
        <w:p w14:paraId="402C5E1B" w14:textId="2F3C001B" w:rsidR="00EB25A1" w:rsidRPr="00EB25A1" w:rsidRDefault="0007499C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kern w:val="0"/>
              <w:lang w:val="en-US"/>
              <w14:ligatures w14:val="none"/>
            </w:rPr>
          </w:pPr>
          <w:hyperlink w:anchor="_Toc183435398" w:history="1">
            <w:r w:rsidR="00EB25A1" w:rsidRPr="00EB25A1">
              <w:rPr>
                <w:rStyle w:val="Hyperlink"/>
                <w:rFonts w:ascii="Segoe UI" w:hAnsi="Segoe UI" w:cs="Segoe UI"/>
                <w:bCs/>
                <w:noProof/>
              </w:rPr>
              <w:t>2.</w:t>
            </w:r>
            <w:r w:rsidR="00EB25A1" w:rsidRPr="00EB25A1">
              <w:rPr>
                <w:rFonts w:eastAsiaTheme="minorEastAsia"/>
                <w:noProof/>
                <w:kern w:val="0"/>
                <w:lang w:val="en-US"/>
                <w14:ligatures w14:val="none"/>
              </w:rPr>
              <w:tab/>
            </w:r>
            <w:r w:rsidR="00EB25A1" w:rsidRPr="00EB25A1">
              <w:rPr>
                <w:rStyle w:val="Hyperlink"/>
                <w:rFonts w:ascii="Segoe UI" w:hAnsi="Segoe UI" w:cs="Segoe UI"/>
                <w:bCs/>
                <w:noProof/>
              </w:rPr>
              <w:t>Prednosti i izazovi primene SDN-a</w:t>
            </w:r>
            <w:r w:rsidR="00EB25A1" w:rsidRPr="00EB25A1">
              <w:rPr>
                <w:noProof/>
                <w:webHidden/>
              </w:rPr>
              <w:tab/>
            </w:r>
            <w:r w:rsidR="00EB25A1" w:rsidRPr="00EB25A1">
              <w:rPr>
                <w:noProof/>
                <w:webHidden/>
              </w:rPr>
              <w:fldChar w:fldCharType="begin"/>
            </w:r>
            <w:r w:rsidR="00EB25A1" w:rsidRPr="00EB25A1">
              <w:rPr>
                <w:noProof/>
                <w:webHidden/>
              </w:rPr>
              <w:instrText xml:space="preserve"> PAGEREF _Toc183435398 \h </w:instrText>
            </w:r>
            <w:r w:rsidR="00EB25A1" w:rsidRPr="00EB25A1">
              <w:rPr>
                <w:noProof/>
                <w:webHidden/>
              </w:rPr>
            </w:r>
            <w:r w:rsidR="00EB25A1" w:rsidRPr="00EB25A1">
              <w:rPr>
                <w:noProof/>
                <w:webHidden/>
              </w:rPr>
              <w:fldChar w:fldCharType="separate"/>
            </w:r>
            <w:r w:rsidR="00CC09B9">
              <w:rPr>
                <w:noProof/>
                <w:webHidden/>
              </w:rPr>
              <w:t>6</w:t>
            </w:r>
            <w:r w:rsidR="00EB25A1" w:rsidRPr="00EB25A1">
              <w:rPr>
                <w:noProof/>
                <w:webHidden/>
              </w:rPr>
              <w:fldChar w:fldCharType="end"/>
            </w:r>
          </w:hyperlink>
        </w:p>
        <w:p w14:paraId="0122F8C5" w14:textId="4D784119" w:rsidR="00EB25A1" w:rsidRPr="00EB25A1" w:rsidRDefault="0007499C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kern w:val="0"/>
              <w:lang w:val="en-US"/>
              <w14:ligatures w14:val="none"/>
            </w:rPr>
          </w:pPr>
          <w:hyperlink w:anchor="_Toc183435399" w:history="1">
            <w:r w:rsidR="00EB25A1" w:rsidRPr="00EB25A1">
              <w:rPr>
                <w:rStyle w:val="Hyperlink"/>
                <w:rFonts w:ascii="Segoe UI" w:hAnsi="Segoe UI" w:cs="Segoe UI"/>
                <w:bCs/>
                <w:noProof/>
              </w:rPr>
              <w:t>3.</w:t>
            </w:r>
            <w:r w:rsidR="00EB25A1" w:rsidRPr="00EB25A1">
              <w:rPr>
                <w:rFonts w:eastAsiaTheme="minorEastAsia"/>
                <w:noProof/>
                <w:kern w:val="0"/>
                <w:lang w:val="en-US"/>
                <w14:ligatures w14:val="none"/>
              </w:rPr>
              <w:tab/>
            </w:r>
            <w:r w:rsidR="00EB25A1" w:rsidRPr="00EB25A1">
              <w:rPr>
                <w:rStyle w:val="Hyperlink"/>
                <w:rFonts w:ascii="Segoe UI" w:hAnsi="Segoe UI" w:cs="Segoe UI"/>
                <w:bCs/>
                <w:noProof/>
              </w:rPr>
              <w:t>Razlike između okvirnog sporazuma i SDN-a</w:t>
            </w:r>
            <w:r w:rsidR="00EB25A1" w:rsidRPr="00EB25A1">
              <w:rPr>
                <w:noProof/>
                <w:webHidden/>
              </w:rPr>
              <w:tab/>
            </w:r>
            <w:r w:rsidR="00EB25A1" w:rsidRPr="00EB25A1">
              <w:rPr>
                <w:noProof/>
                <w:webHidden/>
              </w:rPr>
              <w:fldChar w:fldCharType="begin"/>
            </w:r>
            <w:r w:rsidR="00EB25A1" w:rsidRPr="00EB25A1">
              <w:rPr>
                <w:noProof/>
                <w:webHidden/>
              </w:rPr>
              <w:instrText xml:space="preserve"> PAGEREF _Toc183435399 \h </w:instrText>
            </w:r>
            <w:r w:rsidR="00EB25A1" w:rsidRPr="00EB25A1">
              <w:rPr>
                <w:noProof/>
                <w:webHidden/>
              </w:rPr>
            </w:r>
            <w:r w:rsidR="00EB25A1" w:rsidRPr="00EB25A1">
              <w:rPr>
                <w:noProof/>
                <w:webHidden/>
              </w:rPr>
              <w:fldChar w:fldCharType="separate"/>
            </w:r>
            <w:r w:rsidR="00CC09B9">
              <w:rPr>
                <w:noProof/>
                <w:webHidden/>
              </w:rPr>
              <w:t>7</w:t>
            </w:r>
            <w:r w:rsidR="00EB25A1" w:rsidRPr="00EB25A1">
              <w:rPr>
                <w:noProof/>
                <w:webHidden/>
              </w:rPr>
              <w:fldChar w:fldCharType="end"/>
            </w:r>
          </w:hyperlink>
        </w:p>
        <w:p w14:paraId="35AE5191" w14:textId="49631BB6" w:rsidR="00EB25A1" w:rsidRPr="00EB25A1" w:rsidRDefault="0007499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0"/>
              <w:lang w:val="en-US"/>
              <w14:ligatures w14:val="none"/>
            </w:rPr>
          </w:pPr>
          <w:hyperlink w:anchor="_Toc183435400" w:history="1">
            <w:r w:rsidR="00EB25A1" w:rsidRPr="00EB25A1">
              <w:rPr>
                <w:rStyle w:val="Hyperlink"/>
                <w:rFonts w:ascii="Segoe UI Emoji" w:hAnsi="Segoe UI Emoji"/>
                <w:noProof/>
              </w:rPr>
              <w:t>Uspostavljanje i vo</w:t>
            </w:r>
            <w:r w:rsidR="00B01B44">
              <w:rPr>
                <w:rStyle w:val="Hyperlink"/>
                <w:rFonts w:ascii="Calibri" w:hAnsi="Calibri"/>
                <w:noProof/>
              </w:rPr>
              <w:t>đ</w:t>
            </w:r>
            <w:r w:rsidR="00EB25A1" w:rsidRPr="00EB25A1">
              <w:rPr>
                <w:rStyle w:val="Hyperlink"/>
                <w:rFonts w:ascii="Segoe UI Emoji" w:hAnsi="Segoe UI Emoji"/>
                <w:noProof/>
              </w:rPr>
              <w:t>enje SDN-a</w:t>
            </w:r>
            <w:r w:rsidR="00EB25A1" w:rsidRPr="00EB25A1">
              <w:rPr>
                <w:noProof/>
                <w:webHidden/>
              </w:rPr>
              <w:tab/>
            </w:r>
            <w:r w:rsidR="00EB25A1" w:rsidRPr="00EB25A1">
              <w:rPr>
                <w:noProof/>
                <w:webHidden/>
              </w:rPr>
              <w:fldChar w:fldCharType="begin"/>
            </w:r>
            <w:r w:rsidR="00EB25A1" w:rsidRPr="00EB25A1">
              <w:rPr>
                <w:noProof/>
                <w:webHidden/>
              </w:rPr>
              <w:instrText xml:space="preserve"> PAGEREF _Toc183435400 \h </w:instrText>
            </w:r>
            <w:r w:rsidR="00EB25A1" w:rsidRPr="00EB25A1">
              <w:rPr>
                <w:noProof/>
                <w:webHidden/>
              </w:rPr>
            </w:r>
            <w:r w:rsidR="00EB25A1" w:rsidRPr="00EB25A1">
              <w:rPr>
                <w:noProof/>
                <w:webHidden/>
              </w:rPr>
              <w:fldChar w:fldCharType="separate"/>
            </w:r>
            <w:r w:rsidR="00CC09B9">
              <w:rPr>
                <w:noProof/>
                <w:webHidden/>
              </w:rPr>
              <w:t>9</w:t>
            </w:r>
            <w:r w:rsidR="00EB25A1" w:rsidRPr="00EB25A1">
              <w:rPr>
                <w:noProof/>
                <w:webHidden/>
              </w:rPr>
              <w:fldChar w:fldCharType="end"/>
            </w:r>
          </w:hyperlink>
        </w:p>
        <w:p w14:paraId="7B7C03C3" w14:textId="65DC6E15" w:rsidR="00EB25A1" w:rsidRPr="00EB25A1" w:rsidRDefault="0007499C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kern w:val="0"/>
              <w:lang w:val="en-US"/>
              <w14:ligatures w14:val="none"/>
            </w:rPr>
          </w:pPr>
          <w:hyperlink w:anchor="_Toc183435401" w:history="1">
            <w:r w:rsidR="00EB25A1" w:rsidRPr="00EB25A1">
              <w:rPr>
                <w:rStyle w:val="Hyperlink"/>
                <w:rFonts w:ascii="Segoe UI" w:hAnsi="Segoe UI" w:cs="Segoe UI"/>
                <w:bCs/>
                <w:noProof/>
              </w:rPr>
              <w:t>1.</w:t>
            </w:r>
            <w:r w:rsidR="00EB25A1" w:rsidRPr="00EB25A1">
              <w:rPr>
                <w:rFonts w:eastAsiaTheme="minorEastAsia"/>
                <w:noProof/>
                <w:kern w:val="0"/>
                <w:lang w:val="en-US"/>
                <w14:ligatures w14:val="none"/>
              </w:rPr>
              <w:tab/>
            </w:r>
            <w:r w:rsidR="00EB25A1" w:rsidRPr="00EB25A1">
              <w:rPr>
                <w:rStyle w:val="Hyperlink"/>
                <w:rFonts w:ascii="Segoe UI" w:hAnsi="Segoe UI" w:cs="Segoe UI"/>
                <w:bCs/>
                <w:noProof/>
              </w:rPr>
              <w:t>Osnovna pravila SDN-a</w:t>
            </w:r>
            <w:r w:rsidR="00EB25A1" w:rsidRPr="00EB25A1">
              <w:rPr>
                <w:noProof/>
                <w:webHidden/>
              </w:rPr>
              <w:tab/>
            </w:r>
            <w:r w:rsidR="00EB25A1" w:rsidRPr="00EB25A1">
              <w:rPr>
                <w:noProof/>
                <w:webHidden/>
              </w:rPr>
              <w:fldChar w:fldCharType="begin"/>
            </w:r>
            <w:r w:rsidR="00EB25A1" w:rsidRPr="00EB25A1">
              <w:rPr>
                <w:noProof/>
                <w:webHidden/>
              </w:rPr>
              <w:instrText xml:space="preserve"> PAGEREF _Toc183435401 \h </w:instrText>
            </w:r>
            <w:r w:rsidR="00EB25A1" w:rsidRPr="00EB25A1">
              <w:rPr>
                <w:noProof/>
                <w:webHidden/>
              </w:rPr>
            </w:r>
            <w:r w:rsidR="00EB25A1" w:rsidRPr="00EB25A1">
              <w:rPr>
                <w:noProof/>
                <w:webHidden/>
              </w:rPr>
              <w:fldChar w:fldCharType="separate"/>
            </w:r>
            <w:r w:rsidR="00CC09B9">
              <w:rPr>
                <w:noProof/>
                <w:webHidden/>
              </w:rPr>
              <w:t>9</w:t>
            </w:r>
            <w:r w:rsidR="00EB25A1" w:rsidRPr="00EB25A1">
              <w:rPr>
                <w:noProof/>
                <w:webHidden/>
              </w:rPr>
              <w:fldChar w:fldCharType="end"/>
            </w:r>
          </w:hyperlink>
        </w:p>
        <w:p w14:paraId="5FA93E35" w14:textId="56330B24" w:rsidR="00EB25A1" w:rsidRPr="00EB25A1" w:rsidRDefault="0007499C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kern w:val="0"/>
              <w:lang w:val="en-US"/>
              <w14:ligatures w14:val="none"/>
            </w:rPr>
          </w:pPr>
          <w:hyperlink w:anchor="_Toc183435402" w:history="1">
            <w:r w:rsidR="00EB25A1" w:rsidRPr="00EB25A1">
              <w:rPr>
                <w:rStyle w:val="Hyperlink"/>
                <w:rFonts w:ascii="Segoe UI" w:hAnsi="Segoe UI" w:cs="Segoe UI"/>
                <w:bCs/>
                <w:noProof/>
              </w:rPr>
              <w:t>2.</w:t>
            </w:r>
            <w:r w:rsidR="00EB25A1" w:rsidRPr="00EB25A1">
              <w:rPr>
                <w:rFonts w:eastAsiaTheme="minorEastAsia"/>
                <w:noProof/>
                <w:kern w:val="0"/>
                <w:lang w:val="en-US"/>
                <w14:ligatures w14:val="none"/>
              </w:rPr>
              <w:tab/>
            </w:r>
            <w:r w:rsidR="00EB25A1" w:rsidRPr="00EB25A1">
              <w:rPr>
                <w:rStyle w:val="Hyperlink"/>
                <w:rFonts w:ascii="Segoe UI" w:hAnsi="Segoe UI" w:cs="Segoe UI"/>
                <w:bCs/>
                <w:noProof/>
              </w:rPr>
              <w:t>Prva faza - kvalifikacija privrednih subjekata</w:t>
            </w:r>
            <w:r w:rsidR="00EB25A1" w:rsidRPr="00EB25A1">
              <w:rPr>
                <w:noProof/>
                <w:webHidden/>
              </w:rPr>
              <w:tab/>
            </w:r>
            <w:r w:rsidR="00EB25A1" w:rsidRPr="00EB25A1">
              <w:rPr>
                <w:noProof/>
                <w:webHidden/>
              </w:rPr>
              <w:fldChar w:fldCharType="begin"/>
            </w:r>
            <w:r w:rsidR="00EB25A1" w:rsidRPr="00EB25A1">
              <w:rPr>
                <w:noProof/>
                <w:webHidden/>
              </w:rPr>
              <w:instrText xml:space="preserve"> PAGEREF _Toc183435402 \h </w:instrText>
            </w:r>
            <w:r w:rsidR="00EB25A1" w:rsidRPr="00EB25A1">
              <w:rPr>
                <w:noProof/>
                <w:webHidden/>
              </w:rPr>
            </w:r>
            <w:r w:rsidR="00EB25A1" w:rsidRPr="00EB25A1">
              <w:rPr>
                <w:noProof/>
                <w:webHidden/>
              </w:rPr>
              <w:fldChar w:fldCharType="separate"/>
            </w:r>
            <w:r w:rsidR="00CC09B9">
              <w:rPr>
                <w:noProof/>
                <w:webHidden/>
              </w:rPr>
              <w:t>11</w:t>
            </w:r>
            <w:r w:rsidR="00EB25A1" w:rsidRPr="00EB25A1">
              <w:rPr>
                <w:noProof/>
                <w:webHidden/>
              </w:rPr>
              <w:fldChar w:fldCharType="end"/>
            </w:r>
          </w:hyperlink>
        </w:p>
        <w:p w14:paraId="7AC46685" w14:textId="1B0763BA" w:rsidR="00EB25A1" w:rsidRPr="00EB25A1" w:rsidRDefault="0007499C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kern w:val="0"/>
              <w:lang w:val="en-US"/>
              <w14:ligatures w14:val="none"/>
            </w:rPr>
          </w:pPr>
          <w:hyperlink w:anchor="_Toc183435403" w:history="1">
            <w:r w:rsidR="00EB25A1" w:rsidRPr="00EB25A1">
              <w:rPr>
                <w:rStyle w:val="Hyperlink"/>
                <w:rFonts w:ascii="Segoe UI" w:hAnsi="Segoe UI" w:cs="Segoe UI"/>
                <w:bCs/>
                <w:noProof/>
              </w:rPr>
              <w:t>3.</w:t>
            </w:r>
            <w:r w:rsidR="00EB25A1" w:rsidRPr="00EB25A1">
              <w:rPr>
                <w:rFonts w:eastAsiaTheme="minorEastAsia"/>
                <w:noProof/>
                <w:kern w:val="0"/>
                <w:lang w:val="en-US"/>
                <w14:ligatures w14:val="none"/>
              </w:rPr>
              <w:tab/>
            </w:r>
            <w:r w:rsidR="00EB25A1" w:rsidRPr="00EB25A1">
              <w:rPr>
                <w:rStyle w:val="Hyperlink"/>
                <w:rFonts w:ascii="Segoe UI" w:hAnsi="Segoe UI" w:cs="Segoe UI"/>
                <w:bCs/>
                <w:noProof/>
              </w:rPr>
              <w:t>Druga faza – dodela ugovora</w:t>
            </w:r>
            <w:r w:rsidR="00EB25A1" w:rsidRPr="00EB25A1">
              <w:rPr>
                <w:noProof/>
                <w:webHidden/>
              </w:rPr>
              <w:tab/>
            </w:r>
            <w:r w:rsidR="00EB25A1" w:rsidRPr="00EB25A1">
              <w:rPr>
                <w:noProof/>
                <w:webHidden/>
              </w:rPr>
              <w:fldChar w:fldCharType="begin"/>
            </w:r>
            <w:r w:rsidR="00EB25A1" w:rsidRPr="00EB25A1">
              <w:rPr>
                <w:noProof/>
                <w:webHidden/>
              </w:rPr>
              <w:instrText xml:space="preserve"> PAGEREF _Toc183435403 \h </w:instrText>
            </w:r>
            <w:r w:rsidR="00EB25A1" w:rsidRPr="00EB25A1">
              <w:rPr>
                <w:noProof/>
                <w:webHidden/>
              </w:rPr>
            </w:r>
            <w:r w:rsidR="00EB25A1" w:rsidRPr="00EB25A1">
              <w:rPr>
                <w:noProof/>
                <w:webHidden/>
              </w:rPr>
              <w:fldChar w:fldCharType="separate"/>
            </w:r>
            <w:r w:rsidR="00CC09B9">
              <w:rPr>
                <w:noProof/>
                <w:webHidden/>
              </w:rPr>
              <w:t>17</w:t>
            </w:r>
            <w:r w:rsidR="00EB25A1" w:rsidRPr="00EB25A1">
              <w:rPr>
                <w:noProof/>
                <w:webHidden/>
              </w:rPr>
              <w:fldChar w:fldCharType="end"/>
            </w:r>
          </w:hyperlink>
        </w:p>
        <w:p w14:paraId="5B9DF267" w14:textId="120F78C3" w:rsidR="00EB25A1" w:rsidRPr="00EB25A1" w:rsidRDefault="0007499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0"/>
              <w:lang w:val="en-US"/>
              <w14:ligatures w14:val="none"/>
            </w:rPr>
          </w:pPr>
          <w:hyperlink w:anchor="_Toc183435404" w:history="1">
            <w:r w:rsidR="00EB25A1" w:rsidRPr="00EB25A1">
              <w:rPr>
                <w:rStyle w:val="Hyperlink"/>
                <w:rFonts w:ascii="Segoe UI Emoji" w:hAnsi="Segoe UI Emoji"/>
                <w:noProof/>
              </w:rPr>
              <w:t>Prilog</w:t>
            </w:r>
            <w:r w:rsidR="00EB25A1" w:rsidRPr="00EB25A1">
              <w:rPr>
                <w:noProof/>
                <w:webHidden/>
              </w:rPr>
              <w:tab/>
            </w:r>
            <w:r w:rsidR="00EB25A1" w:rsidRPr="00EB25A1">
              <w:rPr>
                <w:noProof/>
                <w:webHidden/>
              </w:rPr>
              <w:fldChar w:fldCharType="begin"/>
            </w:r>
            <w:r w:rsidR="00EB25A1" w:rsidRPr="00EB25A1">
              <w:rPr>
                <w:noProof/>
                <w:webHidden/>
              </w:rPr>
              <w:instrText xml:space="preserve"> PAGEREF _Toc183435404 \h </w:instrText>
            </w:r>
            <w:r w:rsidR="00EB25A1" w:rsidRPr="00EB25A1">
              <w:rPr>
                <w:noProof/>
                <w:webHidden/>
              </w:rPr>
            </w:r>
            <w:r w:rsidR="00EB25A1" w:rsidRPr="00EB25A1">
              <w:rPr>
                <w:noProof/>
                <w:webHidden/>
              </w:rPr>
              <w:fldChar w:fldCharType="separate"/>
            </w:r>
            <w:r w:rsidR="00CC09B9">
              <w:rPr>
                <w:noProof/>
                <w:webHidden/>
              </w:rPr>
              <w:t>23</w:t>
            </w:r>
            <w:r w:rsidR="00EB25A1" w:rsidRPr="00EB25A1">
              <w:rPr>
                <w:noProof/>
                <w:webHidden/>
              </w:rPr>
              <w:fldChar w:fldCharType="end"/>
            </w:r>
          </w:hyperlink>
        </w:p>
        <w:p w14:paraId="55693D72" w14:textId="769898B1" w:rsidR="00EB25A1" w:rsidRDefault="0007499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0"/>
              <w:lang w:val="en-US"/>
              <w14:ligatures w14:val="none"/>
            </w:rPr>
          </w:pPr>
          <w:hyperlink w:anchor="_Toc183435405" w:history="1">
            <w:r w:rsidR="00EB25A1" w:rsidRPr="00EB25A1">
              <w:rPr>
                <w:rStyle w:val="Hyperlink"/>
                <w:rFonts w:ascii="Segoe UI" w:hAnsi="Segoe UI" w:cs="Segoe UI"/>
                <w:bCs/>
                <w:noProof/>
              </w:rPr>
              <w:t>Model Informacije o načinu vođenja SDN-a</w:t>
            </w:r>
            <w:r w:rsidR="00EB25A1" w:rsidRPr="00EB25A1">
              <w:rPr>
                <w:noProof/>
                <w:webHidden/>
              </w:rPr>
              <w:tab/>
            </w:r>
            <w:r w:rsidR="00EB25A1" w:rsidRPr="00EB25A1">
              <w:rPr>
                <w:noProof/>
                <w:webHidden/>
              </w:rPr>
              <w:fldChar w:fldCharType="begin"/>
            </w:r>
            <w:r w:rsidR="00EB25A1" w:rsidRPr="00EB25A1">
              <w:rPr>
                <w:noProof/>
                <w:webHidden/>
              </w:rPr>
              <w:instrText xml:space="preserve"> PAGEREF _Toc183435405 \h </w:instrText>
            </w:r>
            <w:r w:rsidR="00EB25A1" w:rsidRPr="00EB25A1">
              <w:rPr>
                <w:noProof/>
                <w:webHidden/>
              </w:rPr>
            </w:r>
            <w:r w:rsidR="00EB25A1" w:rsidRPr="00EB25A1">
              <w:rPr>
                <w:noProof/>
                <w:webHidden/>
              </w:rPr>
              <w:fldChar w:fldCharType="separate"/>
            </w:r>
            <w:r w:rsidR="00CC09B9">
              <w:rPr>
                <w:noProof/>
                <w:webHidden/>
              </w:rPr>
              <w:t>23</w:t>
            </w:r>
            <w:r w:rsidR="00EB25A1" w:rsidRPr="00EB25A1">
              <w:rPr>
                <w:noProof/>
                <w:webHidden/>
              </w:rPr>
              <w:fldChar w:fldCharType="end"/>
            </w:r>
          </w:hyperlink>
        </w:p>
        <w:p w14:paraId="0B2DBAD3" w14:textId="5CB94896" w:rsidR="008E3691" w:rsidRPr="00EB25A1" w:rsidRDefault="008E3691" w:rsidP="00EB25A1">
          <w:pPr>
            <w:sectPr w:rsidR="008E3691" w:rsidRPr="00EB25A1" w:rsidSect="00831ED2">
              <w:pgSz w:w="11906" w:h="16838"/>
              <w:pgMar w:top="1440" w:right="1440" w:bottom="1440" w:left="1440" w:header="708" w:footer="454" w:gutter="0"/>
              <w:cols w:space="708"/>
              <w:docGrid w:linePitch="360"/>
            </w:sect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122F422" w14:textId="5D1F0C75" w:rsidR="00934460" w:rsidRPr="00222EAD" w:rsidRDefault="001A4A27" w:rsidP="00222EAD">
      <w:pPr>
        <w:pStyle w:val="Heading1"/>
        <w:rPr>
          <w:rFonts w:ascii="Segoe UI Emoji" w:hAnsi="Segoe UI Emoji"/>
          <w:sz w:val="80"/>
          <w:szCs w:val="80"/>
        </w:rPr>
      </w:pPr>
      <w:bookmarkStart w:id="1" w:name="_Toc183435395"/>
      <w:r w:rsidRPr="00222EAD">
        <w:rPr>
          <w:rFonts w:ascii="Segoe UI Emoji" w:hAnsi="Segoe UI Emoji"/>
          <w:sz w:val="80"/>
          <w:szCs w:val="80"/>
        </w:rPr>
        <w:lastRenderedPageBreak/>
        <w:t>U</w:t>
      </w:r>
      <w:r w:rsidR="00367CF6" w:rsidRPr="00222EAD">
        <w:rPr>
          <w:rFonts w:ascii="Segoe UI Emoji" w:hAnsi="Segoe UI Emoji"/>
          <w:sz w:val="80"/>
          <w:szCs w:val="80"/>
        </w:rPr>
        <w:t>vod</w:t>
      </w:r>
      <w:bookmarkEnd w:id="1"/>
    </w:p>
    <w:p w14:paraId="1E3C0F0D" w14:textId="1361F370" w:rsidR="00C535B8" w:rsidRPr="00DC7523" w:rsidRDefault="00C535B8" w:rsidP="00C535B8">
      <w:pPr>
        <w:spacing w:before="120" w:after="12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Sistem dinamične nabavke (SDN) u Republici Srbiji prvi put je uveden Zakonom o javnim nabavkama („Službeni glasnik RS“, broj 124/12, 14/15 i 68/15), u skladu sa tada važećim Direktivama EU u oblasti javnih nabavki</w:t>
      </w:r>
      <w:r w:rsidRPr="00DC7523">
        <w:rPr>
          <w:rStyle w:val="FootnoteReference"/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footnoteReference w:id="1"/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, međutim njegova primena u praksi nije zabeležena u periodu važenja tog Zakona. Razlog tome je prevashodno činjenica da se ovaj sistem obrazuje isk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val="sr-Cyrl-RS" w:eastAsia="sr-Latn-RS"/>
          <w14:ligatures w14:val="none"/>
        </w:rPr>
        <w:t>l</w:t>
      </w:r>
      <w:r w:rsidR="009B445F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val="sr-Cyrl-RS" w:eastAsia="sr-Latn-RS"/>
          <w14:ligatures w14:val="none"/>
        </w:rPr>
        <w:t>j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učivo elektronskim sredstvima, za šta nisu bile obezbeđene tehničke mogućnosti.</w:t>
      </w:r>
    </w:p>
    <w:p w14:paraId="56F4715A" w14:textId="428E6A50" w:rsidR="000A5685" w:rsidRPr="00DC7523" w:rsidRDefault="000A5685" w:rsidP="00934460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hAnsi="Segoe UI" w:cs="Segoe UI"/>
          <w:sz w:val="24"/>
          <w:szCs w:val="24"/>
        </w:rPr>
        <w:t xml:space="preserve">Zakonom o javnim nabavkama </w:t>
      </w:r>
      <w:r w:rsidRPr="00DC7523">
        <w:rPr>
          <w:rFonts w:ascii="Segoe UI" w:eastAsia="Times New Roman" w:hAnsi="Segoe UI" w:cs="Segoe UI"/>
          <w:color w:val="212529"/>
          <w:sz w:val="24"/>
          <w:szCs w:val="24"/>
          <w:lang w:eastAsia="sr-Latn-RS"/>
        </w:rPr>
        <w:t>(„Sl. glasnik RS“, br. 91/19 i 92/23, u daljem tekstu: ZJN)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, SDN je uređen u skladu sa aktuelnim direktivama EU</w:t>
      </w:r>
      <w:r w:rsidRPr="00DC7523">
        <w:rPr>
          <w:rStyle w:val="FootnoteReference"/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footnoteReference w:id="2"/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, a kako je reč o tehnici koja se uspostavl</w:t>
      </w:r>
      <w:r w:rsidR="009B445F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j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a i vodi iskl</w:t>
      </w:r>
      <w:r w:rsidR="009B445F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j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učivo elektronskim sredstvima, implementirane su i funkcionalnosti Portala javnih nabavki (Portal) čime su stvoreni svi preduslovi za primenu ove tehnike u praksi.</w:t>
      </w:r>
    </w:p>
    <w:p w14:paraId="01BA580C" w14:textId="3A4F5885" w:rsidR="00934460" w:rsidRPr="00DC7523" w:rsidRDefault="00706606" w:rsidP="00934460">
      <w:pPr>
        <w:jc w:val="both"/>
        <w:rPr>
          <w:rFonts w:ascii="Segoe UI" w:hAnsi="Segoe UI" w:cs="Segoe UI"/>
          <w:sz w:val="24"/>
          <w:szCs w:val="24"/>
        </w:rPr>
      </w:pPr>
      <w:r w:rsidRPr="00DC7523">
        <w:rPr>
          <w:rFonts w:ascii="Segoe UI" w:hAnsi="Segoe UI" w:cs="Segoe UI"/>
          <w:sz w:val="24"/>
          <w:szCs w:val="24"/>
        </w:rPr>
        <w:t>SDN</w:t>
      </w:r>
      <w:r w:rsidR="00934460" w:rsidRPr="00DC7523">
        <w:rPr>
          <w:rFonts w:ascii="Segoe UI" w:hAnsi="Segoe UI" w:cs="Segoe UI"/>
          <w:sz w:val="24"/>
          <w:szCs w:val="24"/>
        </w:rPr>
        <w:t xml:space="preserve"> je </w:t>
      </w:r>
      <w:r w:rsidR="00AC3ED3" w:rsidRPr="00DC7523">
        <w:rPr>
          <w:rFonts w:ascii="Segoe UI" w:hAnsi="Segoe UI" w:cs="Segoe UI"/>
          <w:sz w:val="24"/>
          <w:szCs w:val="24"/>
        </w:rPr>
        <w:t>tehnika</w:t>
      </w:r>
      <w:r w:rsidR="00934460" w:rsidRPr="00DC7523">
        <w:rPr>
          <w:rFonts w:ascii="Segoe UI" w:hAnsi="Segoe UI" w:cs="Segoe UI"/>
          <w:sz w:val="24"/>
          <w:szCs w:val="24"/>
        </w:rPr>
        <w:t xml:space="preserve"> javne nabavke namenjen</w:t>
      </w:r>
      <w:r w:rsidR="00AC3ED3" w:rsidRPr="00DC7523">
        <w:rPr>
          <w:rFonts w:ascii="Segoe UI" w:hAnsi="Segoe UI" w:cs="Segoe UI"/>
          <w:sz w:val="24"/>
          <w:szCs w:val="24"/>
        </w:rPr>
        <w:t>a</w:t>
      </w:r>
      <w:r w:rsidR="00934460" w:rsidRPr="00DC7523">
        <w:rPr>
          <w:rFonts w:ascii="Segoe UI" w:hAnsi="Segoe UI" w:cs="Segoe UI"/>
          <w:sz w:val="24"/>
          <w:szCs w:val="24"/>
        </w:rPr>
        <w:t xml:space="preserve"> za </w:t>
      </w:r>
      <w:r w:rsidRPr="00DC7523">
        <w:rPr>
          <w:rFonts w:ascii="Segoe UI" w:hAnsi="Segoe UI" w:cs="Segoe UI"/>
          <w:sz w:val="24"/>
          <w:szCs w:val="24"/>
        </w:rPr>
        <w:t>predmete nabavki koji su opštedostupni na tržištu i koji kao takvi mogu da zadovolje potrebe naručioca</w:t>
      </w:r>
      <w:r w:rsidR="00104851" w:rsidRPr="00DC7523">
        <w:rPr>
          <w:rFonts w:ascii="Segoe UI" w:hAnsi="Segoe UI" w:cs="Segoe UI"/>
          <w:sz w:val="24"/>
          <w:szCs w:val="24"/>
          <w:lang w:val="sr-Cyrl-RS"/>
        </w:rPr>
        <w:t xml:space="preserve">. </w:t>
      </w:r>
      <w:r w:rsidR="00104851" w:rsidRPr="00DC7523">
        <w:rPr>
          <w:rFonts w:ascii="Segoe UI" w:hAnsi="Segoe UI" w:cs="Segoe UI"/>
          <w:sz w:val="24"/>
          <w:szCs w:val="24"/>
        </w:rPr>
        <w:t>Njegova posebno važna karakteristika je da</w:t>
      </w:r>
      <w:r w:rsidR="000A5685" w:rsidRPr="00DC7523">
        <w:rPr>
          <w:rFonts w:ascii="Segoe UI" w:hAnsi="Segoe UI" w:cs="Segoe UI"/>
          <w:sz w:val="24"/>
          <w:szCs w:val="24"/>
        </w:rPr>
        <w:t xml:space="preserve"> </w:t>
      </w:r>
      <w:r w:rsidR="00104851" w:rsidRPr="00DC7523">
        <w:rPr>
          <w:rFonts w:ascii="Segoe UI" w:hAnsi="Segoe UI" w:cs="Segoe UI"/>
          <w:sz w:val="24"/>
          <w:szCs w:val="24"/>
        </w:rPr>
        <w:t>je</w:t>
      </w:r>
      <w:r w:rsidR="003505EB">
        <w:rPr>
          <w:rFonts w:ascii="Segoe UI" w:hAnsi="Segoe UI" w:cs="Segoe UI"/>
          <w:sz w:val="24"/>
          <w:szCs w:val="24"/>
        </w:rPr>
        <w:t>,</w:t>
      </w:r>
      <w:r w:rsidR="00104851" w:rsidRPr="00DC7523">
        <w:rPr>
          <w:rFonts w:ascii="Segoe UI" w:hAnsi="Segoe UI" w:cs="Segoe UI"/>
          <w:sz w:val="24"/>
          <w:szCs w:val="24"/>
        </w:rPr>
        <w:t xml:space="preserve"> </w:t>
      </w:r>
      <w:r w:rsidR="000A5685" w:rsidRPr="00DC7523">
        <w:rPr>
          <w:rFonts w:ascii="Segoe UI" w:hAnsi="Segoe UI" w:cs="Segoe UI"/>
          <w:sz w:val="24"/>
          <w:szCs w:val="24"/>
        </w:rPr>
        <w:t>tokom čitavog perioda na koji se uspostavi</w:t>
      </w:r>
      <w:r w:rsidR="003505EB">
        <w:rPr>
          <w:rFonts w:ascii="Segoe UI" w:hAnsi="Segoe UI" w:cs="Segoe UI"/>
          <w:sz w:val="24"/>
          <w:szCs w:val="24"/>
        </w:rPr>
        <w:t>,</w:t>
      </w:r>
      <w:r w:rsidRPr="00DC7523">
        <w:rPr>
          <w:rFonts w:ascii="Segoe UI" w:hAnsi="Segoe UI" w:cs="Segoe UI"/>
          <w:sz w:val="24"/>
          <w:szCs w:val="24"/>
        </w:rPr>
        <w:t xml:space="preserve"> otvoren</w:t>
      </w:r>
      <w:r w:rsidR="00AC3ED3" w:rsidRPr="00DC7523">
        <w:rPr>
          <w:rFonts w:ascii="Segoe UI" w:hAnsi="Segoe UI" w:cs="Segoe UI"/>
          <w:sz w:val="24"/>
          <w:szCs w:val="24"/>
        </w:rPr>
        <w:t xml:space="preserve"> </w:t>
      </w:r>
      <w:r w:rsidRPr="00DC7523">
        <w:rPr>
          <w:rFonts w:ascii="Segoe UI" w:hAnsi="Segoe UI" w:cs="Segoe UI"/>
          <w:sz w:val="24"/>
          <w:szCs w:val="24"/>
        </w:rPr>
        <w:t>za prijem</w:t>
      </w:r>
      <w:r w:rsidR="00AC3ED3" w:rsidRPr="00DC7523">
        <w:rPr>
          <w:rFonts w:ascii="Segoe UI" w:hAnsi="Segoe UI" w:cs="Segoe UI"/>
          <w:sz w:val="24"/>
          <w:szCs w:val="24"/>
        </w:rPr>
        <w:t xml:space="preserve"> svih</w:t>
      </w:r>
      <w:r w:rsidRPr="00DC7523">
        <w:rPr>
          <w:rFonts w:ascii="Segoe UI" w:hAnsi="Segoe UI" w:cs="Segoe UI"/>
          <w:sz w:val="24"/>
          <w:szCs w:val="24"/>
        </w:rPr>
        <w:t xml:space="preserve"> privrednih subjekata koji ispunjavaju kriterijume za kvalitativni izbor privrednog subjekta koje naručilac</w:t>
      </w:r>
      <w:r w:rsidR="00AC3ED3" w:rsidRPr="00DC7523">
        <w:rPr>
          <w:rFonts w:ascii="Segoe UI" w:hAnsi="Segoe UI" w:cs="Segoe UI"/>
          <w:sz w:val="24"/>
          <w:szCs w:val="24"/>
        </w:rPr>
        <w:t xml:space="preserve"> odredi</w:t>
      </w:r>
      <w:r w:rsidR="00934460" w:rsidRPr="00DC7523">
        <w:rPr>
          <w:rFonts w:ascii="Segoe UI" w:hAnsi="Segoe UI" w:cs="Segoe UI"/>
          <w:sz w:val="24"/>
          <w:szCs w:val="24"/>
        </w:rPr>
        <w:t xml:space="preserve">, čime se omogućava veća </w:t>
      </w:r>
      <w:r w:rsidR="00104851" w:rsidRPr="00DC7523">
        <w:rPr>
          <w:rFonts w:ascii="Segoe UI" w:hAnsi="Segoe UI" w:cs="Segoe UI"/>
          <w:sz w:val="24"/>
          <w:szCs w:val="24"/>
        </w:rPr>
        <w:t xml:space="preserve">konkurentnost, </w:t>
      </w:r>
      <w:r w:rsidR="00934460" w:rsidRPr="00DC7523">
        <w:rPr>
          <w:rFonts w:ascii="Segoe UI" w:hAnsi="Segoe UI" w:cs="Segoe UI"/>
          <w:sz w:val="24"/>
          <w:szCs w:val="24"/>
        </w:rPr>
        <w:t>efikasnost i transparentnost procesa.</w:t>
      </w:r>
    </w:p>
    <w:p w14:paraId="404693C1" w14:textId="1B6F8FCD" w:rsidR="00077CC0" w:rsidRPr="00DC7523" w:rsidRDefault="00077CC0" w:rsidP="00077CC0">
      <w:pPr>
        <w:spacing w:before="120" w:after="12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Ipak, prema podacima iz godišnjeg Izveštaja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val="sr-Cyrl-RS" w:eastAsia="sr-Latn-RS"/>
          <w14:ligatures w14:val="none"/>
        </w:rPr>
        <w:t>Kancelarije za javne nabavke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za 202</w:t>
      </w:r>
      <w:r w:rsidR="00104851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3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. godinu</w:t>
      </w:r>
      <w:r w:rsidRPr="00DC7523">
        <w:rPr>
          <w:rStyle w:val="FootnoteReference"/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footnoteReference w:id="3"/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, naručioci su</w:t>
      </w:r>
      <w:r w:rsidR="00891390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u 2023. godini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pokrenuli samo 1</w:t>
      </w:r>
      <w:r w:rsidR="000A5685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val="sr-Cyrl-RS" w:eastAsia="sr-Latn-RS"/>
          <w14:ligatures w14:val="none"/>
        </w:rPr>
        <w:t>9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postupaka sa ci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val="sr-Cyrl-RS" w:eastAsia="sr-Latn-RS"/>
          <w14:ligatures w14:val="none"/>
        </w:rPr>
        <w:t>lј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em uspostav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val="sr-Cyrl-RS" w:eastAsia="sr-Latn-RS"/>
          <w14:ligatures w14:val="none"/>
        </w:rPr>
        <w:t>lј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anja SDN-a, što ukazuje na to da i dalјe nije dovolјno razvijena svest o prednostima ove tehnike. </w:t>
      </w:r>
    </w:p>
    <w:p w14:paraId="34719233" w14:textId="7C025D68" w:rsidR="0096042F" w:rsidRPr="00DC7523" w:rsidRDefault="0096042F" w:rsidP="0096042F">
      <w:pPr>
        <w:jc w:val="both"/>
        <w:rPr>
          <w:rFonts w:ascii="Segoe UI" w:hAnsi="Segoe UI" w:cs="Segoe UI"/>
          <w:sz w:val="24"/>
          <w:szCs w:val="24"/>
        </w:rPr>
      </w:pPr>
      <w:r w:rsidRPr="00DC7523">
        <w:rPr>
          <w:rFonts w:ascii="Segoe UI" w:hAnsi="Segoe UI" w:cs="Segoe UI"/>
          <w:sz w:val="24"/>
          <w:szCs w:val="24"/>
        </w:rPr>
        <w:t>Ovo uputstvo sadrži osnovne informacije o SDN-u, njegovim prednostima, kao i konkretne korake i preporuke za njegovo sprovođenje, s ciljem šireg uvođenja ove tehnike u praksu.</w:t>
      </w:r>
    </w:p>
    <w:p w14:paraId="64D07FC7" w14:textId="0D44A83A" w:rsidR="00934460" w:rsidRPr="00DC7523" w:rsidRDefault="00934460" w:rsidP="00934460">
      <w:pPr>
        <w:jc w:val="both"/>
        <w:rPr>
          <w:rFonts w:ascii="Segoe UI" w:hAnsi="Segoe UI" w:cs="Segoe UI"/>
          <w:sz w:val="24"/>
          <w:szCs w:val="24"/>
        </w:rPr>
      </w:pPr>
      <w:r w:rsidRPr="00DC7523">
        <w:rPr>
          <w:rFonts w:ascii="Segoe UI" w:hAnsi="Segoe UI" w:cs="Segoe UI"/>
          <w:sz w:val="24"/>
          <w:szCs w:val="24"/>
        </w:rPr>
        <w:t xml:space="preserve">Priprema ovog uputstva deo je projekta </w:t>
      </w:r>
      <w:r w:rsidRPr="00DC7523">
        <w:rPr>
          <w:rFonts w:ascii="Segoe UI" w:hAnsi="Segoe UI" w:cs="Segoe UI"/>
          <w:bCs/>
          <w:sz w:val="24"/>
          <w:szCs w:val="24"/>
        </w:rPr>
        <w:t>„Efikasne javne nabavke i održivi lanci snabdevanja (ESG) za unapređenje konkurentnosti“</w:t>
      </w:r>
      <w:r w:rsidRPr="00DC7523">
        <w:rPr>
          <w:rFonts w:ascii="Segoe UI" w:hAnsi="Segoe UI" w:cs="Segoe UI"/>
          <w:sz w:val="24"/>
          <w:szCs w:val="24"/>
        </w:rPr>
        <w:t xml:space="preserve">, koji sprovodi NALED uz podršku </w:t>
      </w:r>
      <w:r w:rsidRPr="00DC7523">
        <w:rPr>
          <w:rFonts w:ascii="Segoe UI" w:hAnsi="Segoe UI" w:cs="Segoe UI"/>
          <w:bCs/>
          <w:sz w:val="24"/>
          <w:szCs w:val="24"/>
        </w:rPr>
        <w:t>Švedske agencije za međunarodni razvoj i saradnju (SIDA)</w:t>
      </w:r>
      <w:r w:rsidRPr="00DC7523">
        <w:rPr>
          <w:rFonts w:ascii="Segoe UI" w:hAnsi="Segoe UI" w:cs="Segoe UI"/>
          <w:sz w:val="24"/>
          <w:szCs w:val="24"/>
        </w:rPr>
        <w:t>. Projekat ima za cilj unapređenje konkurentnosti kroz efikasnije sprovođenje javnih nabavki i promociju održivih lanaca snabdevanja, čime se doprinosi ekonomskom rastu i društvenoj odgovornosti.</w:t>
      </w:r>
    </w:p>
    <w:p w14:paraId="1668FC0B" w14:textId="00E4C972" w:rsidR="0004644B" w:rsidRDefault="00AC3ED3" w:rsidP="00222EAD">
      <w:pPr>
        <w:pStyle w:val="Heading1"/>
        <w:rPr>
          <w:rFonts w:ascii="Segoe UI Emoji" w:hAnsi="Segoe UI Emoji"/>
          <w:sz w:val="80"/>
          <w:szCs w:val="80"/>
        </w:rPr>
      </w:pPr>
      <w:bookmarkStart w:id="2" w:name="_Toc183435396"/>
      <w:r w:rsidRPr="00222EAD">
        <w:rPr>
          <w:rFonts w:ascii="Segoe UI Emoji" w:hAnsi="Segoe UI Emoji"/>
          <w:sz w:val="80"/>
          <w:szCs w:val="80"/>
        </w:rPr>
        <w:lastRenderedPageBreak/>
        <w:t>Opšti pregled SDN</w:t>
      </w:r>
      <w:bookmarkEnd w:id="2"/>
      <w:r w:rsidR="00EB25A1">
        <w:rPr>
          <w:rFonts w:ascii="Segoe UI Emoji" w:hAnsi="Segoe UI Emoji"/>
          <w:sz w:val="80"/>
          <w:szCs w:val="80"/>
        </w:rPr>
        <w:t>-</w:t>
      </w:r>
      <w:r w:rsidR="00570352">
        <w:rPr>
          <w:rFonts w:ascii="Segoe UI Emoji" w:hAnsi="Segoe UI Emoji"/>
          <w:sz w:val="80"/>
          <w:szCs w:val="80"/>
        </w:rPr>
        <w:t>a</w:t>
      </w:r>
    </w:p>
    <w:p w14:paraId="13AACCAC" w14:textId="77777777" w:rsidR="00EB25A1" w:rsidRPr="00EB25A1" w:rsidRDefault="00EB25A1" w:rsidP="00EB25A1"/>
    <w:p w14:paraId="08CE3397" w14:textId="1A7AA1A7" w:rsidR="00280BDA" w:rsidRDefault="00FB33BE" w:rsidP="00222EAD">
      <w:pPr>
        <w:pStyle w:val="Heading2"/>
        <w:numPr>
          <w:ilvl w:val="0"/>
          <w:numId w:val="24"/>
        </w:numPr>
        <w:rPr>
          <w:rFonts w:ascii="Segoe UI" w:eastAsiaTheme="minorHAnsi" w:hAnsi="Segoe UI" w:cs="Segoe UI"/>
          <w:b/>
          <w:bCs/>
          <w:color w:val="6EDA69"/>
          <w:sz w:val="40"/>
          <w:szCs w:val="40"/>
        </w:rPr>
      </w:pPr>
      <w:bookmarkStart w:id="3" w:name="_Toc183435397"/>
      <w:r w:rsidRPr="001C75B2">
        <w:rPr>
          <w:rFonts w:ascii="Segoe UI" w:eastAsiaTheme="minorHAnsi" w:hAnsi="Segoe UI" w:cs="Segoe UI"/>
          <w:b/>
          <w:bCs/>
          <w:color w:val="6EDA69"/>
          <w:sz w:val="40"/>
          <w:szCs w:val="40"/>
        </w:rPr>
        <w:t xml:space="preserve">Zakonodavni okvir </w:t>
      </w:r>
      <w:r w:rsidR="00AC3ED3" w:rsidRPr="001C75B2">
        <w:rPr>
          <w:rFonts w:ascii="Segoe UI" w:eastAsiaTheme="minorHAnsi" w:hAnsi="Segoe UI" w:cs="Segoe UI"/>
          <w:b/>
          <w:bCs/>
          <w:color w:val="6EDA69"/>
          <w:sz w:val="40"/>
          <w:szCs w:val="40"/>
        </w:rPr>
        <w:t>i svrha SDN-a</w:t>
      </w:r>
      <w:bookmarkEnd w:id="3"/>
    </w:p>
    <w:p w14:paraId="6D983BDD" w14:textId="77777777" w:rsidR="00EB25A1" w:rsidRPr="00EB25A1" w:rsidRDefault="00EB25A1" w:rsidP="00EB25A1"/>
    <w:p w14:paraId="0A44C3FC" w14:textId="1382D68E" w:rsidR="00B05062" w:rsidRPr="00DC7523" w:rsidRDefault="00FB33BE" w:rsidP="00B05062">
      <w:pPr>
        <w:jc w:val="both"/>
        <w:rPr>
          <w:rFonts w:ascii="Segoe UI" w:hAnsi="Segoe UI" w:cs="Segoe UI"/>
          <w:sz w:val="24"/>
          <w:szCs w:val="24"/>
        </w:rPr>
      </w:pPr>
      <w:r w:rsidRPr="00DC7523">
        <w:rPr>
          <w:rFonts w:ascii="Segoe UI" w:hAnsi="Segoe UI" w:cs="Segoe UI"/>
          <w:sz w:val="24"/>
          <w:szCs w:val="24"/>
        </w:rPr>
        <w:t xml:space="preserve">SDN je </w:t>
      </w:r>
      <w:r w:rsidR="0096371F">
        <w:rPr>
          <w:rFonts w:ascii="Segoe UI" w:hAnsi="Segoe UI" w:cs="Segoe UI"/>
          <w:sz w:val="24"/>
          <w:szCs w:val="24"/>
        </w:rPr>
        <w:t xml:space="preserve">ustanovljen ZJN-om </w:t>
      </w:r>
      <w:r w:rsidRPr="00DC7523">
        <w:rPr>
          <w:rFonts w:ascii="Segoe UI" w:hAnsi="Segoe UI" w:cs="Segoe UI"/>
          <w:sz w:val="24"/>
          <w:szCs w:val="24"/>
        </w:rPr>
        <w:t xml:space="preserve">kao </w:t>
      </w:r>
      <w:r w:rsidRPr="00DC7523">
        <w:rPr>
          <w:rFonts w:ascii="Segoe UI" w:hAnsi="Segoe UI" w:cs="Segoe UI"/>
          <w:bCs/>
          <w:sz w:val="24"/>
          <w:szCs w:val="24"/>
        </w:rPr>
        <w:t>tehnika</w:t>
      </w:r>
      <w:r w:rsidRPr="00DC7523">
        <w:rPr>
          <w:rFonts w:ascii="Segoe UI" w:hAnsi="Segoe UI" w:cs="Segoe UI"/>
          <w:sz w:val="24"/>
          <w:szCs w:val="24"/>
        </w:rPr>
        <w:t xml:space="preserve"> javne nabavke </w:t>
      </w:r>
      <w:r w:rsidR="0096371F">
        <w:rPr>
          <w:rFonts w:ascii="Segoe UI" w:hAnsi="Segoe UI" w:cs="Segoe UI"/>
          <w:sz w:val="24"/>
          <w:szCs w:val="24"/>
        </w:rPr>
        <w:t>i</w:t>
      </w:r>
      <w:r w:rsidR="0096042F" w:rsidRPr="00DC7523">
        <w:rPr>
          <w:rFonts w:ascii="Segoe UI" w:hAnsi="Segoe UI" w:cs="Segoe UI"/>
          <w:sz w:val="24"/>
          <w:szCs w:val="24"/>
        </w:rPr>
        <w:t xml:space="preserve"> ne predstavlja </w:t>
      </w:r>
      <w:r w:rsidRPr="00DC7523">
        <w:rPr>
          <w:rFonts w:ascii="Segoe UI" w:hAnsi="Segoe UI" w:cs="Segoe UI"/>
          <w:sz w:val="24"/>
          <w:szCs w:val="24"/>
        </w:rPr>
        <w:t xml:space="preserve">zaseban postupak javne nabavke, već alat koji se može koristiti unutar </w:t>
      </w:r>
      <w:r w:rsidR="007305D1" w:rsidRPr="00DC7523">
        <w:rPr>
          <w:rFonts w:ascii="Segoe UI" w:hAnsi="Segoe UI" w:cs="Segoe UI"/>
          <w:sz w:val="24"/>
          <w:szCs w:val="24"/>
        </w:rPr>
        <w:t>restriktivnog postupka</w:t>
      </w:r>
      <w:r w:rsidRPr="00DC7523">
        <w:rPr>
          <w:rFonts w:ascii="Segoe UI" w:hAnsi="Segoe UI" w:cs="Segoe UI"/>
          <w:sz w:val="24"/>
          <w:szCs w:val="24"/>
        </w:rPr>
        <w:t>.</w:t>
      </w:r>
      <w:r w:rsidR="009E3CA4">
        <w:rPr>
          <w:rFonts w:ascii="Segoe UI" w:hAnsi="Segoe UI" w:cs="Segoe UI"/>
          <w:sz w:val="24"/>
          <w:szCs w:val="24"/>
        </w:rPr>
        <w:t xml:space="preserve"> O</w:t>
      </w:r>
      <w:r w:rsidR="0096371F">
        <w:rPr>
          <w:rFonts w:ascii="Segoe UI" w:hAnsi="Segoe UI" w:cs="Segoe UI"/>
          <w:sz w:val="24"/>
          <w:szCs w:val="24"/>
        </w:rPr>
        <w:t>va tehnika je u</w:t>
      </w:r>
      <w:r w:rsidR="000D5C6F" w:rsidRPr="00DC7523">
        <w:rPr>
          <w:rFonts w:ascii="Segoe UI" w:hAnsi="Segoe UI" w:cs="Segoe UI"/>
          <w:sz w:val="24"/>
          <w:szCs w:val="24"/>
        </w:rPr>
        <w:t xml:space="preserve"> potpunosti elektronski proces </w:t>
      </w:r>
      <w:r w:rsidR="0096371F">
        <w:rPr>
          <w:rFonts w:ascii="Segoe UI" w:hAnsi="Segoe UI" w:cs="Segoe UI"/>
          <w:sz w:val="24"/>
          <w:szCs w:val="24"/>
        </w:rPr>
        <w:t>namenjen nabavkama</w:t>
      </w:r>
      <w:r w:rsidR="000D5C6F" w:rsidRPr="00DC7523">
        <w:rPr>
          <w:rFonts w:ascii="Segoe UI" w:hAnsi="Segoe UI" w:cs="Segoe UI"/>
          <w:sz w:val="24"/>
          <w:szCs w:val="24"/>
        </w:rPr>
        <w:t xml:space="preserve"> dob</w:t>
      </w:r>
      <w:r w:rsidR="00B14D66">
        <w:rPr>
          <w:rFonts w:ascii="Segoe UI" w:hAnsi="Segoe UI" w:cs="Segoe UI"/>
          <w:sz w:val="24"/>
          <w:szCs w:val="24"/>
        </w:rPr>
        <w:t>a</w:t>
      </w:r>
      <w:r w:rsidR="000D5C6F" w:rsidRPr="00DC7523">
        <w:rPr>
          <w:rFonts w:ascii="Segoe UI" w:hAnsi="Segoe UI" w:cs="Segoe UI"/>
          <w:sz w:val="24"/>
          <w:szCs w:val="24"/>
        </w:rPr>
        <w:t>ra, uslug</w:t>
      </w:r>
      <w:r w:rsidR="0096371F">
        <w:rPr>
          <w:rFonts w:ascii="Segoe UI" w:hAnsi="Segoe UI" w:cs="Segoe UI"/>
          <w:sz w:val="24"/>
          <w:szCs w:val="24"/>
        </w:rPr>
        <w:t>a</w:t>
      </w:r>
      <w:r w:rsidR="000D5C6F" w:rsidRPr="00DC7523">
        <w:rPr>
          <w:rFonts w:ascii="Segoe UI" w:hAnsi="Segoe UI" w:cs="Segoe UI"/>
          <w:sz w:val="24"/>
          <w:szCs w:val="24"/>
        </w:rPr>
        <w:t xml:space="preserve"> ili radov</w:t>
      </w:r>
      <w:r w:rsidR="0096371F">
        <w:rPr>
          <w:rFonts w:ascii="Segoe UI" w:hAnsi="Segoe UI" w:cs="Segoe UI"/>
          <w:sz w:val="24"/>
          <w:szCs w:val="24"/>
        </w:rPr>
        <w:t>a</w:t>
      </w:r>
      <w:r w:rsidR="000D5C6F" w:rsidRPr="00DC7523">
        <w:rPr>
          <w:rFonts w:ascii="Segoe UI" w:hAnsi="Segoe UI" w:cs="Segoe UI"/>
          <w:sz w:val="24"/>
          <w:szCs w:val="24"/>
        </w:rPr>
        <w:t xml:space="preserve"> </w:t>
      </w:r>
      <w:r w:rsidR="00865CB0" w:rsidRPr="00DC7523">
        <w:rPr>
          <w:rFonts w:ascii="Segoe UI" w:hAnsi="Segoe UI" w:cs="Segoe UI"/>
          <w:sz w:val="24"/>
          <w:szCs w:val="24"/>
        </w:rPr>
        <w:t xml:space="preserve">koji su opštedostupni na tržištu i koji kao takvi mogu da zadovolje potrebe naručioca, </w:t>
      </w:r>
      <w:r w:rsidR="00A50BA4" w:rsidRPr="00DC7523">
        <w:rPr>
          <w:rFonts w:ascii="Segoe UI" w:hAnsi="Segoe UI" w:cs="Segoe UI"/>
          <w:sz w:val="24"/>
          <w:szCs w:val="24"/>
        </w:rPr>
        <w:t>zapravo</w:t>
      </w:r>
      <w:r w:rsidR="00865CB0" w:rsidRPr="00DC7523">
        <w:rPr>
          <w:rFonts w:ascii="Segoe UI" w:hAnsi="Segoe UI" w:cs="Segoe UI"/>
          <w:sz w:val="24"/>
          <w:szCs w:val="24"/>
        </w:rPr>
        <w:t xml:space="preserve"> </w:t>
      </w:r>
      <w:r w:rsidR="0096371F">
        <w:rPr>
          <w:rFonts w:ascii="Segoe UI" w:hAnsi="Segoe UI" w:cs="Segoe UI"/>
          <w:sz w:val="24"/>
          <w:szCs w:val="24"/>
        </w:rPr>
        <w:t>predmetima</w:t>
      </w:r>
      <w:r w:rsidR="00865CB0" w:rsidRPr="00DC7523">
        <w:rPr>
          <w:rFonts w:ascii="Segoe UI" w:hAnsi="Segoe UI" w:cs="Segoe UI"/>
          <w:sz w:val="24"/>
          <w:szCs w:val="24"/>
        </w:rPr>
        <w:t xml:space="preserve"> nabavki koji se</w:t>
      </w:r>
      <w:r w:rsidR="000D5C6F" w:rsidRPr="00DC7523">
        <w:rPr>
          <w:rFonts w:ascii="Segoe UI" w:hAnsi="Segoe UI" w:cs="Segoe UI"/>
          <w:sz w:val="24"/>
          <w:szCs w:val="24"/>
        </w:rPr>
        <w:t xml:space="preserve"> mogu jasno definisati i koji su često potrebni. Za razliku od drugih tehnika, kao što </w:t>
      </w:r>
      <w:r w:rsidR="0096371F">
        <w:rPr>
          <w:rFonts w:ascii="Segoe UI" w:hAnsi="Segoe UI" w:cs="Segoe UI"/>
          <w:sz w:val="24"/>
          <w:szCs w:val="24"/>
        </w:rPr>
        <w:t>je</w:t>
      </w:r>
      <w:r w:rsidR="000D5C6F" w:rsidRPr="00DC7523">
        <w:rPr>
          <w:rFonts w:ascii="Segoe UI" w:hAnsi="Segoe UI" w:cs="Segoe UI"/>
          <w:sz w:val="24"/>
          <w:szCs w:val="24"/>
        </w:rPr>
        <w:t xml:space="preserve"> okvirni sporazum</w:t>
      </w:r>
      <w:r w:rsidR="008F119C" w:rsidRPr="00DC7523">
        <w:rPr>
          <w:rFonts w:ascii="Segoe UI" w:hAnsi="Segoe UI" w:cs="Segoe UI"/>
          <w:sz w:val="24"/>
          <w:szCs w:val="24"/>
        </w:rPr>
        <w:t xml:space="preserve"> koji predstavlja zatvoren</w:t>
      </w:r>
      <w:r w:rsidR="00C23699">
        <w:rPr>
          <w:rFonts w:ascii="Segoe UI" w:hAnsi="Segoe UI" w:cs="Segoe UI"/>
          <w:sz w:val="24"/>
          <w:szCs w:val="24"/>
        </w:rPr>
        <w:t>i</w:t>
      </w:r>
      <w:r w:rsidR="008F119C" w:rsidRPr="00DC7523">
        <w:rPr>
          <w:rFonts w:ascii="Segoe UI" w:hAnsi="Segoe UI" w:cs="Segoe UI"/>
          <w:sz w:val="24"/>
          <w:szCs w:val="24"/>
        </w:rPr>
        <w:t xml:space="preserve"> sistem </w:t>
      </w:r>
      <w:r w:rsidR="00C23699">
        <w:rPr>
          <w:rFonts w:ascii="Segoe UI" w:hAnsi="Segoe UI" w:cs="Segoe UI"/>
          <w:sz w:val="24"/>
          <w:szCs w:val="24"/>
        </w:rPr>
        <w:t>dostupan</w:t>
      </w:r>
      <w:r w:rsidR="008F119C" w:rsidRPr="00DC7523">
        <w:rPr>
          <w:rFonts w:ascii="Segoe UI" w:hAnsi="Segoe UI" w:cs="Segoe UI"/>
          <w:sz w:val="24"/>
          <w:szCs w:val="24"/>
        </w:rPr>
        <w:t xml:space="preserve"> samo privredni</w:t>
      </w:r>
      <w:r w:rsidR="00C23699">
        <w:rPr>
          <w:rFonts w:ascii="Segoe UI" w:hAnsi="Segoe UI" w:cs="Segoe UI"/>
          <w:sz w:val="24"/>
          <w:szCs w:val="24"/>
        </w:rPr>
        <w:t>m</w:t>
      </w:r>
      <w:r w:rsidR="008F119C" w:rsidRPr="00DC7523">
        <w:rPr>
          <w:rFonts w:ascii="Segoe UI" w:hAnsi="Segoe UI" w:cs="Segoe UI"/>
          <w:sz w:val="24"/>
          <w:szCs w:val="24"/>
        </w:rPr>
        <w:t xml:space="preserve"> subjekti</w:t>
      </w:r>
      <w:r w:rsidR="00C23699">
        <w:rPr>
          <w:rFonts w:ascii="Segoe UI" w:hAnsi="Segoe UI" w:cs="Segoe UI"/>
          <w:sz w:val="24"/>
          <w:szCs w:val="24"/>
        </w:rPr>
        <w:t>ma</w:t>
      </w:r>
      <w:r w:rsidR="008F119C" w:rsidRPr="00DC7523">
        <w:rPr>
          <w:rFonts w:ascii="Segoe UI" w:hAnsi="Segoe UI" w:cs="Segoe UI"/>
          <w:sz w:val="24"/>
          <w:szCs w:val="24"/>
        </w:rPr>
        <w:t xml:space="preserve"> sa kojima je zaključen, </w:t>
      </w:r>
      <w:r w:rsidR="000D5C6F" w:rsidRPr="00DC7523">
        <w:rPr>
          <w:rFonts w:ascii="Segoe UI" w:hAnsi="Segoe UI" w:cs="Segoe UI"/>
          <w:sz w:val="24"/>
          <w:szCs w:val="24"/>
        </w:rPr>
        <w:t xml:space="preserve">SDN omogućava kontinuirano </w:t>
      </w:r>
      <w:r w:rsidR="0029285F">
        <w:rPr>
          <w:rFonts w:ascii="Segoe UI" w:hAnsi="Segoe UI" w:cs="Segoe UI"/>
          <w:sz w:val="24"/>
          <w:szCs w:val="24"/>
        </w:rPr>
        <w:t>uključivanje</w:t>
      </w:r>
      <w:r w:rsidR="000D5C6F" w:rsidRPr="00DC7523">
        <w:rPr>
          <w:rFonts w:ascii="Segoe UI" w:hAnsi="Segoe UI" w:cs="Segoe UI"/>
          <w:sz w:val="24"/>
          <w:szCs w:val="24"/>
        </w:rPr>
        <w:t xml:space="preserve"> novih </w:t>
      </w:r>
      <w:r w:rsidR="008F119C" w:rsidRPr="00DC7523">
        <w:rPr>
          <w:rFonts w:ascii="Segoe UI" w:hAnsi="Segoe UI" w:cs="Segoe UI"/>
          <w:sz w:val="24"/>
          <w:szCs w:val="24"/>
        </w:rPr>
        <w:t>privrednih subjekata</w:t>
      </w:r>
      <w:r w:rsidR="000D5C6F" w:rsidRPr="00DC7523">
        <w:rPr>
          <w:rFonts w:ascii="Segoe UI" w:hAnsi="Segoe UI" w:cs="Segoe UI"/>
          <w:sz w:val="24"/>
          <w:szCs w:val="24"/>
        </w:rPr>
        <w:t xml:space="preserve"> </w:t>
      </w:r>
      <w:r w:rsidR="00447970" w:rsidRPr="00DC7523">
        <w:rPr>
          <w:rFonts w:ascii="Segoe UI" w:hAnsi="Segoe UI" w:cs="Segoe UI"/>
          <w:sz w:val="24"/>
          <w:szCs w:val="24"/>
        </w:rPr>
        <w:t>tokom njegovog trajanja</w:t>
      </w:r>
      <w:r w:rsidR="000D5C6F" w:rsidRPr="00DC7523">
        <w:rPr>
          <w:rFonts w:ascii="Segoe UI" w:hAnsi="Segoe UI" w:cs="Segoe UI"/>
          <w:sz w:val="24"/>
          <w:szCs w:val="24"/>
        </w:rPr>
        <w:t>, čime se osigurava stalna konkurencija i veća fleksibilnost.</w:t>
      </w:r>
    </w:p>
    <w:p w14:paraId="2A994C03" w14:textId="1BDDEAAC" w:rsidR="0029285F" w:rsidRPr="00DC7523" w:rsidRDefault="0029285F" w:rsidP="0029285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Uspostavljanjem SDN-a</w:t>
      </w:r>
      <w:r w:rsidRPr="00DC752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naručiocu</w:t>
      </w:r>
      <w:r w:rsidRPr="00DC7523">
        <w:rPr>
          <w:rFonts w:ascii="Segoe UI" w:hAnsi="Segoe UI" w:cs="Segoe UI"/>
          <w:sz w:val="24"/>
          <w:szCs w:val="24"/>
        </w:rPr>
        <w:t xml:space="preserve"> sprovođenje pojedinačnih nabavki postaje jednostavnije i brže. </w:t>
      </w:r>
      <w:r>
        <w:rPr>
          <w:rFonts w:ascii="Segoe UI" w:hAnsi="Segoe UI" w:cs="Segoe UI"/>
          <w:sz w:val="24"/>
          <w:szCs w:val="24"/>
        </w:rPr>
        <w:t>Naručilac uspostavlja SD</w:t>
      </w:r>
      <w:r w:rsidR="009767FC">
        <w:rPr>
          <w:rFonts w:ascii="Segoe UI" w:hAnsi="Segoe UI" w:cs="Segoe UI"/>
          <w:sz w:val="24"/>
          <w:szCs w:val="24"/>
        </w:rPr>
        <w:t>N</w:t>
      </w:r>
      <w:r>
        <w:rPr>
          <w:rFonts w:ascii="Segoe UI" w:hAnsi="Segoe UI" w:cs="Segoe UI"/>
          <w:sz w:val="24"/>
          <w:szCs w:val="24"/>
        </w:rPr>
        <w:t xml:space="preserve"> </w:t>
      </w:r>
      <w:r w:rsidR="009767FC">
        <w:rPr>
          <w:rFonts w:ascii="Segoe UI" w:hAnsi="Segoe UI" w:cs="Segoe UI"/>
          <w:sz w:val="24"/>
          <w:szCs w:val="24"/>
        </w:rPr>
        <w:t xml:space="preserve">na određeni vremenski period </w:t>
      </w:r>
      <w:r>
        <w:rPr>
          <w:rFonts w:ascii="Segoe UI" w:hAnsi="Segoe UI" w:cs="Segoe UI"/>
          <w:sz w:val="24"/>
          <w:szCs w:val="24"/>
        </w:rPr>
        <w:t xml:space="preserve">za </w:t>
      </w:r>
      <w:r w:rsidR="009767FC">
        <w:rPr>
          <w:rFonts w:ascii="Segoe UI" w:hAnsi="Segoe UI" w:cs="Segoe UI"/>
          <w:sz w:val="24"/>
          <w:szCs w:val="24"/>
        </w:rPr>
        <w:t xml:space="preserve">definisani </w:t>
      </w:r>
      <w:r>
        <w:rPr>
          <w:rFonts w:ascii="Segoe UI" w:hAnsi="Segoe UI" w:cs="Segoe UI"/>
          <w:sz w:val="24"/>
          <w:szCs w:val="24"/>
        </w:rPr>
        <w:t xml:space="preserve">predmet nabavke bez </w:t>
      </w:r>
      <w:r w:rsidR="009767FC">
        <w:rPr>
          <w:rFonts w:ascii="Segoe UI" w:hAnsi="Segoe UI" w:cs="Segoe UI"/>
          <w:sz w:val="24"/>
          <w:szCs w:val="24"/>
        </w:rPr>
        <w:t xml:space="preserve">obaveze </w:t>
      </w:r>
      <w:r>
        <w:rPr>
          <w:rFonts w:ascii="Segoe UI" w:hAnsi="Segoe UI" w:cs="Segoe UI"/>
          <w:sz w:val="24"/>
          <w:szCs w:val="24"/>
        </w:rPr>
        <w:t>preciziranja detaljnih te</w:t>
      </w:r>
      <w:r w:rsidR="00C77EA1">
        <w:rPr>
          <w:rFonts w:ascii="Segoe UI" w:hAnsi="Segoe UI" w:cs="Segoe UI"/>
          <w:sz w:val="24"/>
          <w:szCs w:val="24"/>
        </w:rPr>
        <w:t>h</w:t>
      </w:r>
      <w:r>
        <w:rPr>
          <w:rFonts w:ascii="Segoe UI" w:hAnsi="Segoe UI" w:cs="Segoe UI"/>
          <w:sz w:val="24"/>
          <w:szCs w:val="24"/>
        </w:rPr>
        <w:t xml:space="preserve">ničkih specifikacija i količina, a pojedinačne nabavke sprovodi kada </w:t>
      </w:r>
      <w:r w:rsidR="00C23699">
        <w:rPr>
          <w:rFonts w:ascii="Segoe UI" w:hAnsi="Segoe UI" w:cs="Segoe UI"/>
          <w:sz w:val="24"/>
          <w:szCs w:val="24"/>
        </w:rPr>
        <w:t>nastane konkretna potreba</w:t>
      </w:r>
      <w:r>
        <w:rPr>
          <w:rFonts w:ascii="Segoe UI" w:hAnsi="Segoe UI" w:cs="Segoe UI"/>
          <w:sz w:val="24"/>
          <w:szCs w:val="24"/>
        </w:rPr>
        <w:t>. S druge strane, p</w:t>
      </w:r>
      <w:r w:rsidRPr="00DC7523">
        <w:rPr>
          <w:rFonts w:ascii="Segoe UI" w:hAnsi="Segoe UI" w:cs="Segoe UI"/>
          <w:sz w:val="24"/>
          <w:szCs w:val="24"/>
        </w:rPr>
        <w:t xml:space="preserve">rivredni subjekti mogu podneti prijave za kvalifikaciju i uključiti se u SDN u bilo kom trenutku, pod uslovom da ispunjavaju unapred </w:t>
      </w:r>
      <w:r>
        <w:rPr>
          <w:rFonts w:ascii="Segoe UI" w:hAnsi="Segoe UI" w:cs="Segoe UI"/>
          <w:sz w:val="24"/>
          <w:szCs w:val="24"/>
        </w:rPr>
        <w:t>utvrđ</w:t>
      </w:r>
      <w:r w:rsidR="00C866B6">
        <w:rPr>
          <w:rFonts w:ascii="Segoe UI" w:hAnsi="Segoe UI" w:cs="Segoe UI"/>
          <w:sz w:val="24"/>
          <w:szCs w:val="24"/>
        </w:rPr>
        <w:t>e</w:t>
      </w:r>
      <w:r>
        <w:rPr>
          <w:rFonts w:ascii="Segoe UI" w:hAnsi="Segoe UI" w:cs="Segoe UI"/>
          <w:sz w:val="24"/>
          <w:szCs w:val="24"/>
        </w:rPr>
        <w:t xml:space="preserve">ne </w:t>
      </w:r>
      <w:r w:rsidRPr="00DC7523">
        <w:rPr>
          <w:rFonts w:ascii="Segoe UI" w:hAnsi="Segoe UI" w:cs="Segoe UI"/>
          <w:sz w:val="24"/>
          <w:szCs w:val="24"/>
        </w:rPr>
        <w:t xml:space="preserve">kriterijume za kvalitativni izbor privrednog subjekta. Ova fleksibilnost razlikuje SDN od </w:t>
      </w:r>
      <w:r w:rsidR="005649D0">
        <w:rPr>
          <w:rFonts w:ascii="Segoe UI" w:hAnsi="Segoe UI" w:cs="Segoe UI"/>
          <w:sz w:val="24"/>
          <w:szCs w:val="24"/>
        </w:rPr>
        <w:t>tradicionalnog načina ugov</w:t>
      </w:r>
      <w:r w:rsidR="002C50CD">
        <w:rPr>
          <w:rFonts w:ascii="Segoe UI" w:hAnsi="Segoe UI" w:cs="Segoe UI"/>
          <w:sz w:val="24"/>
          <w:szCs w:val="24"/>
        </w:rPr>
        <w:t>a</w:t>
      </w:r>
      <w:r w:rsidR="005649D0">
        <w:rPr>
          <w:rFonts w:ascii="Segoe UI" w:hAnsi="Segoe UI" w:cs="Segoe UI"/>
          <w:sz w:val="24"/>
          <w:szCs w:val="24"/>
        </w:rPr>
        <w:t>ranja</w:t>
      </w:r>
      <w:r w:rsidRPr="00DC7523">
        <w:rPr>
          <w:rFonts w:ascii="Segoe UI" w:hAnsi="Segoe UI" w:cs="Segoe UI"/>
          <w:sz w:val="24"/>
          <w:szCs w:val="24"/>
        </w:rPr>
        <w:t xml:space="preserve"> </w:t>
      </w:r>
      <w:r w:rsidR="005649D0" w:rsidRPr="00DC7523">
        <w:rPr>
          <w:rFonts w:ascii="Segoe UI" w:hAnsi="Segoe UI" w:cs="Segoe UI"/>
          <w:sz w:val="24"/>
          <w:szCs w:val="24"/>
        </w:rPr>
        <w:t>gde nabavka započinje objavljivanjem javnog poziva i okončava se zaključenjem ugovora</w:t>
      </w:r>
      <w:r w:rsidR="005649D0">
        <w:rPr>
          <w:rFonts w:ascii="Segoe UI" w:hAnsi="Segoe UI" w:cs="Segoe UI"/>
          <w:sz w:val="24"/>
          <w:szCs w:val="24"/>
        </w:rPr>
        <w:t>.</w:t>
      </w:r>
    </w:p>
    <w:p w14:paraId="29665FDE" w14:textId="249A131F" w:rsidR="00B05062" w:rsidRPr="00DC7523" w:rsidRDefault="00FB33BE" w:rsidP="00B05062">
      <w:pPr>
        <w:jc w:val="both"/>
        <w:rPr>
          <w:rFonts w:ascii="Segoe UI" w:hAnsi="Segoe UI" w:cs="Segoe UI"/>
          <w:sz w:val="24"/>
          <w:szCs w:val="24"/>
        </w:rPr>
      </w:pPr>
      <w:r w:rsidRPr="00DC7523">
        <w:rPr>
          <w:rFonts w:ascii="Segoe UI" w:hAnsi="Segoe UI" w:cs="Segoe UI"/>
          <w:sz w:val="24"/>
          <w:szCs w:val="24"/>
        </w:rPr>
        <w:t xml:space="preserve">ZJN u članu 68. </w:t>
      </w:r>
      <w:r w:rsidR="0096371F">
        <w:rPr>
          <w:rFonts w:ascii="Segoe UI" w:hAnsi="Segoe UI" w:cs="Segoe UI"/>
          <w:sz w:val="24"/>
          <w:szCs w:val="24"/>
        </w:rPr>
        <w:t>uređuje</w:t>
      </w:r>
      <w:r w:rsidR="007305D1" w:rsidRPr="00DC7523">
        <w:rPr>
          <w:rFonts w:ascii="Segoe UI" w:hAnsi="Segoe UI" w:cs="Segoe UI"/>
          <w:sz w:val="24"/>
          <w:szCs w:val="24"/>
        </w:rPr>
        <w:t xml:space="preserve"> ključna pravila primene SDN-a, kao što je način kako se uspostavlja i vodi, obaveznu upotrebu elektronskih sredstava komunikacije, </w:t>
      </w:r>
      <w:r w:rsidR="00A50BA4" w:rsidRPr="00DC7523">
        <w:rPr>
          <w:rFonts w:ascii="Segoe UI" w:hAnsi="Segoe UI" w:cs="Segoe UI"/>
          <w:sz w:val="24"/>
          <w:szCs w:val="24"/>
        </w:rPr>
        <w:t>rokove za podnošenje prijava i ponuda itd</w:t>
      </w:r>
      <w:r w:rsidR="007305D1" w:rsidRPr="00DC7523">
        <w:rPr>
          <w:rFonts w:ascii="Segoe UI" w:hAnsi="Segoe UI" w:cs="Segoe UI"/>
          <w:sz w:val="24"/>
          <w:szCs w:val="24"/>
        </w:rPr>
        <w:t xml:space="preserve">. </w:t>
      </w:r>
      <w:r w:rsidR="00B05062" w:rsidRPr="00DC7523">
        <w:rPr>
          <w:rFonts w:ascii="Segoe UI" w:hAnsi="Segoe UI" w:cs="Segoe UI"/>
          <w:sz w:val="24"/>
          <w:szCs w:val="24"/>
        </w:rPr>
        <w:t>Pravilnikom o sadržini konkursne dokumentacije u postupcima javnih nabavki</w:t>
      </w:r>
      <w:r w:rsidR="00A368E8" w:rsidRPr="00DC7523">
        <w:rPr>
          <w:rFonts w:ascii="Segoe UI" w:hAnsi="Segoe UI" w:cs="Segoe UI"/>
          <w:sz w:val="24"/>
          <w:szCs w:val="24"/>
        </w:rPr>
        <w:t xml:space="preserve"> (u daljem tekstu: Pravilnik)</w:t>
      </w:r>
      <w:r w:rsidR="00B05062" w:rsidRPr="00DC7523">
        <w:rPr>
          <w:rStyle w:val="FootnoteReference"/>
          <w:rFonts w:ascii="Segoe UI" w:hAnsi="Segoe UI" w:cs="Segoe UI"/>
          <w:sz w:val="24"/>
          <w:szCs w:val="24"/>
        </w:rPr>
        <w:footnoteReference w:id="4"/>
      </w:r>
      <w:r w:rsidR="00B1435E" w:rsidRPr="00DC7523">
        <w:rPr>
          <w:rFonts w:ascii="Segoe UI" w:hAnsi="Segoe UI" w:cs="Segoe UI"/>
          <w:sz w:val="24"/>
          <w:szCs w:val="24"/>
        </w:rPr>
        <w:t xml:space="preserve">, bliže je </w:t>
      </w:r>
      <w:r w:rsidR="00B05062" w:rsidRPr="00DC7523">
        <w:rPr>
          <w:rFonts w:ascii="Segoe UI" w:hAnsi="Segoe UI" w:cs="Segoe UI"/>
          <w:sz w:val="24"/>
          <w:szCs w:val="24"/>
        </w:rPr>
        <w:t>uređena sadržina konkursne dokumentacije u slučaju SDN-a, kao i u restriktivnom postupku</w:t>
      </w:r>
      <w:r w:rsidR="00B1435E" w:rsidRPr="00DC7523">
        <w:rPr>
          <w:rFonts w:ascii="Segoe UI" w:hAnsi="Segoe UI" w:cs="Segoe UI"/>
          <w:sz w:val="24"/>
          <w:szCs w:val="24"/>
        </w:rPr>
        <w:t xml:space="preserve"> čija pravila se </w:t>
      </w:r>
      <w:r w:rsidR="00B05062" w:rsidRPr="00DC7523">
        <w:rPr>
          <w:rFonts w:ascii="Segoe UI" w:hAnsi="Segoe UI" w:cs="Segoe UI"/>
          <w:sz w:val="24"/>
          <w:szCs w:val="24"/>
        </w:rPr>
        <w:t>primenjuj</w:t>
      </w:r>
      <w:r w:rsidR="00B1435E" w:rsidRPr="00DC7523">
        <w:rPr>
          <w:rFonts w:ascii="Segoe UI" w:hAnsi="Segoe UI" w:cs="Segoe UI"/>
          <w:sz w:val="24"/>
          <w:szCs w:val="24"/>
        </w:rPr>
        <w:t>u</w:t>
      </w:r>
      <w:r w:rsidR="00B05062" w:rsidRPr="00DC7523">
        <w:rPr>
          <w:rFonts w:ascii="Segoe UI" w:hAnsi="Segoe UI" w:cs="Segoe UI"/>
          <w:sz w:val="24"/>
          <w:szCs w:val="24"/>
        </w:rPr>
        <w:t xml:space="preserve"> za uspostavljanje</w:t>
      </w:r>
      <w:r w:rsidR="00B1435E" w:rsidRPr="00DC7523">
        <w:rPr>
          <w:rFonts w:ascii="Segoe UI" w:hAnsi="Segoe UI" w:cs="Segoe UI"/>
          <w:sz w:val="24"/>
          <w:szCs w:val="24"/>
        </w:rPr>
        <w:t xml:space="preserve"> i vođenje </w:t>
      </w:r>
      <w:r w:rsidR="00B05062" w:rsidRPr="00DC7523">
        <w:rPr>
          <w:rFonts w:ascii="Segoe UI" w:hAnsi="Segoe UI" w:cs="Segoe UI"/>
          <w:sz w:val="24"/>
          <w:szCs w:val="24"/>
        </w:rPr>
        <w:t>S</w:t>
      </w:r>
      <w:r w:rsidR="00B1435E" w:rsidRPr="00DC7523">
        <w:rPr>
          <w:rFonts w:ascii="Segoe UI" w:hAnsi="Segoe UI" w:cs="Segoe UI"/>
          <w:sz w:val="24"/>
          <w:szCs w:val="24"/>
        </w:rPr>
        <w:t>D</w:t>
      </w:r>
      <w:r w:rsidR="00B05062" w:rsidRPr="00DC7523">
        <w:rPr>
          <w:rFonts w:ascii="Segoe UI" w:hAnsi="Segoe UI" w:cs="Segoe UI"/>
          <w:sz w:val="24"/>
          <w:szCs w:val="24"/>
        </w:rPr>
        <w:t>N</w:t>
      </w:r>
      <w:r w:rsidR="00B1435E" w:rsidRPr="00DC7523">
        <w:rPr>
          <w:rFonts w:ascii="Segoe UI" w:hAnsi="Segoe UI" w:cs="Segoe UI"/>
          <w:sz w:val="24"/>
          <w:szCs w:val="24"/>
        </w:rPr>
        <w:t>-a</w:t>
      </w:r>
      <w:r w:rsidR="00B05062" w:rsidRPr="00DC7523">
        <w:rPr>
          <w:rFonts w:ascii="Segoe UI" w:hAnsi="Segoe UI" w:cs="Segoe UI"/>
          <w:sz w:val="24"/>
          <w:szCs w:val="24"/>
        </w:rPr>
        <w:t xml:space="preserve">. </w:t>
      </w:r>
    </w:p>
    <w:p w14:paraId="1335C207" w14:textId="36D22A79" w:rsidR="000D5C6F" w:rsidRPr="00DC7523" w:rsidRDefault="000D5C6F" w:rsidP="000D5C6F">
      <w:pPr>
        <w:jc w:val="both"/>
        <w:rPr>
          <w:rFonts w:ascii="Segoe UI" w:hAnsi="Segoe UI" w:cs="Segoe UI"/>
          <w:sz w:val="24"/>
          <w:szCs w:val="24"/>
        </w:rPr>
      </w:pPr>
      <w:r w:rsidRPr="00DC7523">
        <w:rPr>
          <w:rFonts w:ascii="Segoe UI" w:hAnsi="Segoe UI" w:cs="Segoe UI"/>
          <w:bCs/>
          <w:sz w:val="24"/>
          <w:szCs w:val="24"/>
        </w:rPr>
        <w:t>Svrha SDN-a</w:t>
      </w:r>
      <w:r w:rsidRPr="00DC7523">
        <w:rPr>
          <w:rFonts w:ascii="Segoe UI" w:hAnsi="Segoe UI" w:cs="Segoe UI"/>
          <w:sz w:val="24"/>
          <w:szCs w:val="24"/>
        </w:rPr>
        <w:t xml:space="preserve"> je olakšavanje nabavke za često potrebne </w:t>
      </w:r>
      <w:r w:rsidR="00865CB0" w:rsidRPr="00DC7523">
        <w:rPr>
          <w:rFonts w:ascii="Segoe UI" w:hAnsi="Segoe UI" w:cs="Segoe UI"/>
          <w:sz w:val="24"/>
          <w:szCs w:val="24"/>
        </w:rPr>
        <w:t>nabavke</w:t>
      </w:r>
      <w:r w:rsidRPr="00DC7523">
        <w:rPr>
          <w:rFonts w:ascii="Segoe UI" w:hAnsi="Segoe UI" w:cs="Segoe UI"/>
          <w:sz w:val="24"/>
          <w:szCs w:val="24"/>
        </w:rPr>
        <w:t xml:space="preserve">, povećanje efikasnosti i smanjenje administrativnog opterećenja kako za naručioce, tako i za ponuđače. SDN omogućava veću konkurenciju, podstiče učešće malih i srednjih preduzeća i poboljšava </w:t>
      </w:r>
      <w:r w:rsidR="00A50BA4" w:rsidRPr="00DC7523">
        <w:rPr>
          <w:rFonts w:ascii="Segoe UI" w:hAnsi="Segoe UI" w:cs="Segoe UI"/>
          <w:sz w:val="24"/>
          <w:szCs w:val="24"/>
        </w:rPr>
        <w:t xml:space="preserve">sigurnost </w:t>
      </w:r>
      <w:r w:rsidRPr="00DC7523">
        <w:rPr>
          <w:rFonts w:ascii="Segoe UI" w:hAnsi="Segoe UI" w:cs="Segoe UI"/>
          <w:sz w:val="24"/>
          <w:szCs w:val="24"/>
        </w:rPr>
        <w:t xml:space="preserve">u nabavkama. Takođe, pomoću ove tehnike se unapređuje upravljanje troškovima i kvalitetom </w:t>
      </w:r>
      <w:r w:rsidR="00865CB0" w:rsidRPr="00DC7523">
        <w:rPr>
          <w:rFonts w:ascii="Segoe UI" w:hAnsi="Segoe UI" w:cs="Segoe UI"/>
          <w:sz w:val="24"/>
          <w:szCs w:val="24"/>
        </w:rPr>
        <w:t>predm</w:t>
      </w:r>
      <w:r w:rsidR="00EA6199" w:rsidRPr="00DC7523">
        <w:rPr>
          <w:rFonts w:ascii="Segoe UI" w:hAnsi="Segoe UI" w:cs="Segoe UI"/>
          <w:sz w:val="24"/>
          <w:szCs w:val="24"/>
        </w:rPr>
        <w:t>e</w:t>
      </w:r>
      <w:r w:rsidR="00865CB0" w:rsidRPr="00DC7523">
        <w:rPr>
          <w:rFonts w:ascii="Segoe UI" w:hAnsi="Segoe UI" w:cs="Segoe UI"/>
          <w:sz w:val="24"/>
          <w:szCs w:val="24"/>
        </w:rPr>
        <w:t>ta nabavki</w:t>
      </w:r>
      <w:r w:rsidRPr="00DC7523">
        <w:rPr>
          <w:rFonts w:ascii="Segoe UI" w:hAnsi="Segoe UI" w:cs="Segoe UI"/>
          <w:sz w:val="24"/>
          <w:szCs w:val="24"/>
        </w:rPr>
        <w:t xml:space="preserve"> koj</w:t>
      </w:r>
      <w:r w:rsidR="00865CB0" w:rsidRPr="00DC7523">
        <w:rPr>
          <w:rFonts w:ascii="Segoe UI" w:hAnsi="Segoe UI" w:cs="Segoe UI"/>
          <w:sz w:val="24"/>
          <w:szCs w:val="24"/>
        </w:rPr>
        <w:t>i</w:t>
      </w:r>
      <w:r w:rsidRPr="00DC7523">
        <w:rPr>
          <w:rFonts w:ascii="Segoe UI" w:hAnsi="Segoe UI" w:cs="Segoe UI"/>
          <w:sz w:val="24"/>
          <w:szCs w:val="24"/>
        </w:rPr>
        <w:t xml:space="preserve"> se nabavljaju kroz stalno </w:t>
      </w:r>
      <w:r w:rsidR="00865CB0" w:rsidRPr="00DC7523">
        <w:rPr>
          <w:rFonts w:ascii="Segoe UI" w:hAnsi="Segoe UI" w:cs="Segoe UI"/>
          <w:sz w:val="24"/>
          <w:szCs w:val="24"/>
        </w:rPr>
        <w:t xml:space="preserve">podnošenje </w:t>
      </w:r>
      <w:r w:rsidR="00865CB0" w:rsidRPr="00DC7523">
        <w:rPr>
          <w:rFonts w:ascii="Segoe UI" w:hAnsi="Segoe UI" w:cs="Segoe UI"/>
          <w:sz w:val="24"/>
          <w:szCs w:val="24"/>
        </w:rPr>
        <w:lastRenderedPageBreak/>
        <w:t>novih</w:t>
      </w:r>
      <w:r w:rsidRPr="00DC7523">
        <w:rPr>
          <w:rFonts w:ascii="Segoe UI" w:hAnsi="Segoe UI" w:cs="Segoe UI"/>
          <w:sz w:val="24"/>
          <w:szCs w:val="24"/>
        </w:rPr>
        <w:t xml:space="preserve"> ponuda od strane kvalifikovanih </w:t>
      </w:r>
      <w:r w:rsidR="00C23699">
        <w:rPr>
          <w:rFonts w:ascii="Segoe UI" w:hAnsi="Segoe UI" w:cs="Segoe UI"/>
          <w:sz w:val="24"/>
          <w:szCs w:val="24"/>
        </w:rPr>
        <w:t>kandidata</w:t>
      </w:r>
      <w:r w:rsidR="00447970" w:rsidRPr="00DC7523">
        <w:rPr>
          <w:rFonts w:ascii="Segoe UI" w:hAnsi="Segoe UI" w:cs="Segoe UI"/>
          <w:sz w:val="24"/>
          <w:szCs w:val="24"/>
        </w:rPr>
        <w:t xml:space="preserve"> </w:t>
      </w:r>
      <w:r w:rsidR="00865CB0" w:rsidRPr="00DC7523">
        <w:rPr>
          <w:rFonts w:ascii="Segoe UI" w:hAnsi="Segoe UI" w:cs="Segoe UI"/>
          <w:sz w:val="24"/>
          <w:szCs w:val="24"/>
        </w:rPr>
        <w:t>u skladu sa konkretnim potrebama naručioca</w:t>
      </w:r>
      <w:r w:rsidRPr="00DC7523">
        <w:rPr>
          <w:rFonts w:ascii="Segoe UI" w:hAnsi="Segoe UI" w:cs="Segoe UI"/>
          <w:sz w:val="24"/>
          <w:szCs w:val="24"/>
        </w:rPr>
        <w:t>.</w:t>
      </w:r>
    </w:p>
    <w:p w14:paraId="21DA5D48" w14:textId="562C7D16" w:rsidR="000D5C6F" w:rsidRPr="00DC7523" w:rsidRDefault="00B05062" w:rsidP="00865CB0">
      <w:pPr>
        <w:jc w:val="both"/>
        <w:rPr>
          <w:rFonts w:ascii="Segoe UI" w:hAnsi="Segoe UI" w:cs="Segoe UI"/>
          <w:sz w:val="24"/>
          <w:szCs w:val="24"/>
        </w:rPr>
      </w:pPr>
      <w:r w:rsidRPr="00DC7523">
        <w:rPr>
          <w:rFonts w:ascii="Segoe UI" w:hAnsi="Segoe UI" w:cs="Segoe UI"/>
          <w:sz w:val="24"/>
          <w:szCs w:val="24"/>
        </w:rPr>
        <w:t>T</w:t>
      </w:r>
      <w:r w:rsidR="000D5C6F" w:rsidRPr="00DC7523">
        <w:rPr>
          <w:rFonts w:ascii="Segoe UI" w:hAnsi="Segoe UI" w:cs="Segoe UI"/>
          <w:sz w:val="24"/>
          <w:szCs w:val="24"/>
        </w:rPr>
        <w:t xml:space="preserve">okom trajanja SDN-a, naručilac ima mogućnost sprovođenja velikog broja pojedinačnih nabavki na osnovu unapred utvrđenih uslova, pri čemu se stalno omogućava pristup </w:t>
      </w:r>
      <w:r w:rsidR="007F47A3" w:rsidRPr="00DC7523">
        <w:rPr>
          <w:rFonts w:ascii="Segoe UI" w:hAnsi="Segoe UI" w:cs="Segoe UI"/>
          <w:sz w:val="24"/>
          <w:szCs w:val="24"/>
        </w:rPr>
        <w:t xml:space="preserve">sistemu </w:t>
      </w:r>
      <w:r w:rsidR="000D5C6F" w:rsidRPr="00DC7523">
        <w:rPr>
          <w:rFonts w:ascii="Segoe UI" w:hAnsi="Segoe UI" w:cs="Segoe UI"/>
          <w:sz w:val="24"/>
          <w:szCs w:val="24"/>
        </w:rPr>
        <w:t xml:space="preserve">novim </w:t>
      </w:r>
      <w:r w:rsidR="00447970" w:rsidRPr="00DC7523">
        <w:rPr>
          <w:rFonts w:ascii="Segoe UI" w:hAnsi="Segoe UI" w:cs="Segoe UI"/>
          <w:sz w:val="24"/>
          <w:szCs w:val="24"/>
        </w:rPr>
        <w:t>privrednim subjektima, a kandidati</w:t>
      </w:r>
      <w:r w:rsidR="000D5C6F" w:rsidRPr="00DC7523">
        <w:rPr>
          <w:rFonts w:ascii="Segoe UI" w:hAnsi="Segoe UI" w:cs="Segoe UI"/>
          <w:sz w:val="24"/>
          <w:szCs w:val="24"/>
        </w:rPr>
        <w:t xml:space="preserve"> </w:t>
      </w:r>
      <w:r w:rsidR="007F47A3" w:rsidRPr="00DC7523">
        <w:rPr>
          <w:rFonts w:ascii="Segoe UI" w:hAnsi="Segoe UI" w:cs="Segoe UI"/>
          <w:sz w:val="24"/>
          <w:szCs w:val="24"/>
        </w:rPr>
        <w:t xml:space="preserve">kojima je priznata kvalifikacija </w:t>
      </w:r>
      <w:r w:rsidR="00447CE9" w:rsidRPr="00DC7523">
        <w:rPr>
          <w:rFonts w:ascii="Segoe UI" w:hAnsi="Segoe UI" w:cs="Segoe UI"/>
          <w:sz w:val="24"/>
          <w:szCs w:val="24"/>
        </w:rPr>
        <w:t xml:space="preserve">pozivaju se i </w:t>
      </w:r>
      <w:r w:rsidR="000D5C6F" w:rsidRPr="00DC7523">
        <w:rPr>
          <w:rFonts w:ascii="Segoe UI" w:hAnsi="Segoe UI" w:cs="Segoe UI"/>
          <w:sz w:val="24"/>
          <w:szCs w:val="24"/>
        </w:rPr>
        <w:t>mogu učestvovati u svim nabavkama koje se sprovode u okviru SDN-a.</w:t>
      </w:r>
    </w:p>
    <w:p w14:paraId="2C48A128" w14:textId="043D6FF8" w:rsidR="00407BCA" w:rsidRDefault="00407BCA" w:rsidP="001C75B2">
      <w:pPr>
        <w:pStyle w:val="Heading2"/>
        <w:numPr>
          <w:ilvl w:val="0"/>
          <w:numId w:val="24"/>
        </w:numPr>
        <w:rPr>
          <w:rFonts w:ascii="Segoe UI" w:eastAsiaTheme="minorHAnsi" w:hAnsi="Segoe UI" w:cs="Segoe UI"/>
          <w:b/>
          <w:bCs/>
          <w:color w:val="6EDA69"/>
          <w:sz w:val="40"/>
          <w:szCs w:val="40"/>
        </w:rPr>
      </w:pPr>
      <w:bookmarkStart w:id="4" w:name="_Toc183435398"/>
      <w:r w:rsidRPr="001C75B2">
        <w:rPr>
          <w:rFonts w:ascii="Segoe UI" w:eastAsiaTheme="minorHAnsi" w:hAnsi="Segoe UI" w:cs="Segoe UI"/>
          <w:b/>
          <w:bCs/>
          <w:color w:val="6EDA69"/>
          <w:sz w:val="40"/>
          <w:szCs w:val="40"/>
        </w:rPr>
        <w:t>Prednosti i izazovi primene SDN-a</w:t>
      </w:r>
      <w:bookmarkEnd w:id="4"/>
    </w:p>
    <w:p w14:paraId="43FD391D" w14:textId="77777777" w:rsidR="00EB25A1" w:rsidRPr="00EB25A1" w:rsidRDefault="00EB25A1" w:rsidP="00EB25A1"/>
    <w:p w14:paraId="679D5F5C" w14:textId="73CB1B17" w:rsidR="001B0941" w:rsidRDefault="00407BCA" w:rsidP="001B094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DC7523">
        <w:rPr>
          <w:rFonts w:ascii="Segoe UI" w:hAnsi="Segoe UI" w:cs="Segoe UI"/>
          <w:sz w:val="24"/>
          <w:szCs w:val="24"/>
        </w:rPr>
        <w:t>SDN sve više dobija na značaju u savremenom sistemu javnih nabavki gde su fleksibilnost i efikasnost nabavki ključni za uspeh.</w:t>
      </w:r>
      <w:bookmarkStart w:id="5" w:name="_Hlk182736247"/>
      <w:r w:rsidRPr="00DC7523">
        <w:rPr>
          <w:rFonts w:ascii="Segoe UI" w:hAnsi="Segoe UI" w:cs="Segoe UI"/>
          <w:sz w:val="24"/>
          <w:szCs w:val="24"/>
        </w:rPr>
        <w:t xml:space="preserve"> </w:t>
      </w:r>
      <w:bookmarkEnd w:id="5"/>
      <w:r w:rsidR="001B0941" w:rsidRPr="00DC7523">
        <w:rPr>
          <w:rFonts w:ascii="Segoe UI" w:hAnsi="Segoe UI" w:cs="Segoe UI"/>
          <w:sz w:val="24"/>
          <w:szCs w:val="24"/>
        </w:rPr>
        <w:t>Posebna pogodnost za naručioce ogleda se u tome da:</w:t>
      </w:r>
    </w:p>
    <w:p w14:paraId="51DB25E9" w14:textId="77777777" w:rsidR="00B01B44" w:rsidRPr="00DC7523" w:rsidRDefault="00B01B44" w:rsidP="001B094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B604BF4" w14:textId="576B5627" w:rsidR="001B0941" w:rsidRPr="00DC7523" w:rsidRDefault="001B0941" w:rsidP="00B7087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Segoe UI" w:hAnsi="Segoe UI" w:cs="Segoe UI"/>
          <w:sz w:val="24"/>
          <w:szCs w:val="24"/>
          <w:lang w:val="en-US"/>
        </w:rPr>
      </w:pPr>
      <w:r w:rsidRPr="00DC7523">
        <w:rPr>
          <w:rFonts w:ascii="Segoe UI" w:hAnsi="Segoe UI" w:cs="Segoe UI"/>
          <w:sz w:val="24"/>
          <w:szCs w:val="24"/>
          <w:lang w:val="it-IT"/>
        </w:rPr>
        <w:t>ne mora svake godine da sprovodi postupak javne nabavke</w:t>
      </w:r>
      <w:r w:rsidR="00CC3ADC">
        <w:rPr>
          <w:rFonts w:ascii="Segoe UI" w:hAnsi="Segoe UI" w:cs="Segoe UI"/>
          <w:sz w:val="24"/>
          <w:szCs w:val="24"/>
          <w:lang w:val="it-IT"/>
        </w:rPr>
        <w:t xml:space="preserve"> za standardne nabavke koje se kontiunirano ponavljaju, kao što su sredstva za održavanje higijene, računari i računarska oprema, lekovi, potrošni medicinski materijal, kancelarijski materijal, usluge održavanja higijene, radovi na redovnom održavanju objekata i sl</w:t>
      </w:r>
      <w:r w:rsidR="003505EB">
        <w:rPr>
          <w:rFonts w:ascii="Segoe UI" w:hAnsi="Segoe UI" w:cs="Segoe UI"/>
          <w:sz w:val="24"/>
          <w:szCs w:val="24"/>
          <w:lang w:val="it-IT"/>
        </w:rPr>
        <w:t>;</w:t>
      </w:r>
    </w:p>
    <w:p w14:paraId="7960E5F1" w14:textId="0413FC17" w:rsidR="00D53788" w:rsidRDefault="001B0941" w:rsidP="00B7087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Segoe UI" w:hAnsi="Segoe UI" w:cs="Segoe UI"/>
          <w:sz w:val="24"/>
          <w:szCs w:val="24"/>
          <w:lang w:val="en-US"/>
        </w:rPr>
      </w:pPr>
      <w:r w:rsidRPr="00DC7523">
        <w:rPr>
          <w:rFonts w:ascii="Segoe UI" w:hAnsi="Segoe UI" w:cs="Segoe UI"/>
          <w:sz w:val="24"/>
          <w:szCs w:val="24"/>
          <w:lang w:val="en-US"/>
        </w:rPr>
        <w:t xml:space="preserve">ne mora da raspolaže </w:t>
      </w:r>
      <w:r w:rsidR="00D53788">
        <w:rPr>
          <w:rFonts w:ascii="Segoe UI" w:hAnsi="Segoe UI" w:cs="Segoe UI"/>
          <w:sz w:val="24"/>
          <w:szCs w:val="24"/>
          <w:lang w:val="en-US"/>
        </w:rPr>
        <w:t>fina</w:t>
      </w:r>
      <w:r w:rsidR="00C3044C">
        <w:rPr>
          <w:rFonts w:ascii="Segoe UI" w:hAnsi="Segoe UI" w:cs="Segoe UI"/>
          <w:sz w:val="24"/>
          <w:szCs w:val="24"/>
          <w:lang w:val="en-US"/>
        </w:rPr>
        <w:t>n</w:t>
      </w:r>
      <w:r w:rsidR="00D53788">
        <w:rPr>
          <w:rFonts w:ascii="Segoe UI" w:hAnsi="Segoe UI" w:cs="Segoe UI"/>
          <w:sz w:val="24"/>
          <w:szCs w:val="24"/>
          <w:lang w:val="en-US"/>
        </w:rPr>
        <w:t xml:space="preserve">sijskim </w:t>
      </w:r>
      <w:r w:rsidRPr="00DC7523">
        <w:rPr>
          <w:rFonts w:ascii="Segoe UI" w:hAnsi="Segoe UI" w:cs="Segoe UI"/>
          <w:sz w:val="24"/>
          <w:szCs w:val="24"/>
          <w:lang w:val="en-US"/>
        </w:rPr>
        <w:t>sredstvima u trenutku pokretanja postupka</w:t>
      </w:r>
      <w:r w:rsidR="00350C5D">
        <w:rPr>
          <w:rFonts w:ascii="Segoe UI" w:hAnsi="Segoe UI" w:cs="Segoe UI"/>
          <w:sz w:val="24"/>
          <w:szCs w:val="24"/>
          <w:lang w:val="en-US"/>
        </w:rPr>
        <w:t xml:space="preserve"> javne nabavke (objavljivanja javnog poziva u prvoj fazi postupka)</w:t>
      </w:r>
      <w:r w:rsidR="00D53788">
        <w:rPr>
          <w:rFonts w:ascii="Segoe UI" w:hAnsi="Segoe UI" w:cs="Segoe UI"/>
          <w:sz w:val="24"/>
          <w:szCs w:val="24"/>
          <w:lang w:val="en-US"/>
        </w:rPr>
        <w:t>;</w:t>
      </w:r>
    </w:p>
    <w:p w14:paraId="57E91D7B" w14:textId="79B75247" w:rsidR="001B0941" w:rsidRPr="00D53788" w:rsidRDefault="00D53788" w:rsidP="00B7087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Segoe UI" w:hAnsi="Segoe UI" w:cs="Segoe UI"/>
          <w:sz w:val="24"/>
          <w:szCs w:val="24"/>
          <w:lang w:val="en-US"/>
        </w:rPr>
      </w:pPr>
      <w:r>
        <w:rPr>
          <w:rFonts w:ascii="Segoe UI" w:hAnsi="Segoe UI" w:cs="Segoe UI"/>
          <w:sz w:val="24"/>
          <w:szCs w:val="24"/>
          <w:lang w:val="en-US"/>
        </w:rPr>
        <w:t>efikasno mogu da reaguju na promene potreba i bu</w:t>
      </w:r>
      <w:r w:rsidR="0067701E">
        <w:rPr>
          <w:rFonts w:ascii="Segoe UI" w:hAnsi="Segoe UI" w:cs="Segoe UI"/>
          <w:sz w:val="24"/>
          <w:szCs w:val="24"/>
          <w:lang w:val="en-US"/>
        </w:rPr>
        <w:t>d</w:t>
      </w:r>
      <w:r>
        <w:rPr>
          <w:rFonts w:ascii="Segoe UI" w:hAnsi="Segoe UI" w:cs="Segoe UI"/>
          <w:sz w:val="24"/>
          <w:szCs w:val="24"/>
          <w:lang w:val="en-US"/>
        </w:rPr>
        <w:t>žeta.</w:t>
      </w:r>
    </w:p>
    <w:p w14:paraId="0F284439" w14:textId="77777777" w:rsidR="0061569F" w:rsidRPr="00DC7523" w:rsidRDefault="0061569F" w:rsidP="0061569F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14:paraId="3C72DC54" w14:textId="0E207B56" w:rsidR="001B0941" w:rsidRPr="00DC7523" w:rsidRDefault="00407BCA" w:rsidP="0061569F">
      <w:pPr>
        <w:jc w:val="both"/>
        <w:rPr>
          <w:rFonts w:ascii="Segoe UI" w:hAnsi="Segoe UI" w:cs="Segoe UI"/>
          <w:sz w:val="24"/>
          <w:szCs w:val="24"/>
          <w:lang w:val="en-US"/>
        </w:rPr>
      </w:pPr>
      <w:r w:rsidRPr="00DC7523">
        <w:rPr>
          <w:rFonts w:ascii="Segoe UI" w:hAnsi="Segoe UI" w:cs="Segoe UI"/>
          <w:sz w:val="24"/>
          <w:szCs w:val="24"/>
        </w:rPr>
        <w:t xml:space="preserve">Iako </w:t>
      </w:r>
      <w:r w:rsidR="00362617" w:rsidRPr="00DC7523">
        <w:rPr>
          <w:rFonts w:ascii="Segoe UI" w:hAnsi="Segoe UI" w:cs="Segoe UI"/>
          <w:sz w:val="24"/>
          <w:szCs w:val="24"/>
        </w:rPr>
        <w:t>SDN</w:t>
      </w:r>
      <w:r w:rsidRPr="00DC7523">
        <w:rPr>
          <w:rFonts w:ascii="Segoe UI" w:hAnsi="Segoe UI" w:cs="Segoe UI"/>
          <w:sz w:val="24"/>
          <w:szCs w:val="24"/>
        </w:rPr>
        <w:t xml:space="preserve"> donosi mnoge prednosti, sa sobom nosi i određene izazove. U nastavku su prikazane ključne prednosti i izazovi primene ovog sistema.</w:t>
      </w:r>
      <w:r w:rsidR="001B0941" w:rsidRPr="00DC7523">
        <w:rPr>
          <w:rFonts w:ascii="Segoe UI" w:hAnsi="Segoe UI" w:cs="Segoe UI"/>
          <w:sz w:val="24"/>
          <w:szCs w:val="24"/>
        </w:rPr>
        <w:t xml:space="preserve"> </w:t>
      </w:r>
    </w:p>
    <w:p w14:paraId="454042D8" w14:textId="45CE5344" w:rsidR="00407BCA" w:rsidRPr="00DC7523" w:rsidRDefault="00407BCA" w:rsidP="00B7087D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DC7523">
        <w:rPr>
          <w:rFonts w:ascii="Segoe UI" w:hAnsi="Segoe UI" w:cs="Segoe UI"/>
          <w:b/>
          <w:sz w:val="24"/>
          <w:szCs w:val="24"/>
        </w:rPr>
        <w:t>Prednosti SDN-a</w:t>
      </w:r>
    </w:p>
    <w:p w14:paraId="320408A5" w14:textId="5C6E9A5C" w:rsidR="00E03D9C" w:rsidRPr="00DC7523" w:rsidRDefault="00362617" w:rsidP="00E03D9C">
      <w:pPr>
        <w:pStyle w:val="NormalWeb"/>
        <w:jc w:val="both"/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</w:pPr>
      <w:r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>SDN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omogućava stalni priliv novih </w:t>
      </w:r>
      <w:r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>privrednih subjekata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tokom trajanja nabavke</w:t>
      </w:r>
      <w:r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>, odnosno sistema, što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</w:t>
      </w:r>
      <w:r w:rsidR="00407BCA" w:rsidRPr="00DC7523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>omogućava veću konkurencij</w:t>
      </w:r>
      <w:r w:rsidRPr="00DC7523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>u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, jer </w:t>
      </w:r>
      <w:r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>zainteresovani privredni subjekti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mogu ući u sistem u bilo kom trenutku, </w:t>
      </w:r>
      <w:r w:rsidR="00EF4FF5">
        <w:rPr>
          <w:rFonts w:ascii="Segoe UI" w:eastAsiaTheme="minorHAnsi" w:hAnsi="Segoe UI" w:cs="Segoe UI"/>
          <w:kern w:val="2"/>
          <w:lang w:eastAsia="en-US"/>
          <w14:ligatures w14:val="standardContextual"/>
        </w:rPr>
        <w:t>ako ispunjavaju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kriterijume </w:t>
      </w:r>
      <w:r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>za kvalitativni izbor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. </w:t>
      </w:r>
      <w:r w:rsidR="00EF4FF5" w:rsidRPr="003505EB">
        <w:rPr>
          <w:rFonts w:ascii="Segoe UI" w:eastAsiaTheme="minorHAnsi" w:hAnsi="Segoe UI" w:cs="Segoe UI"/>
          <w:kern w:val="2"/>
          <w:lang w:eastAsia="en-US"/>
          <w14:ligatures w14:val="standardContextual"/>
        </w:rPr>
        <w:t>Prednost se ogleda i u tome što prvredni subjekt koji je jednom podneo prijavu za SDN i nije mu priznata kvalifikacija ima mogućnost da ponovo</w:t>
      </w:r>
      <w:r w:rsidR="00A26B5B" w:rsidRPr="003505EB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tokom trajanja SDN-a</w:t>
      </w:r>
      <w:r w:rsidR="00EF4FF5" w:rsidRPr="003505EB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podnese prijavu.</w:t>
      </w:r>
      <w:r w:rsidR="00EF4FF5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</w:t>
      </w:r>
      <w:r w:rsidR="00A864E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Veća konkurencija može rezultirati </w:t>
      </w:r>
      <w:r w:rsidR="00602326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>boljim kvalitetom predmeta nabavke i povoljnijim cenama.</w:t>
      </w:r>
      <w:r w:rsidR="00602326" w:rsidRPr="00DC7523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 xml:space="preserve"> </w:t>
      </w:r>
      <w:r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>SDN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</w:t>
      </w:r>
      <w:r w:rsidR="00407BCA" w:rsidRPr="00DC7523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 xml:space="preserve">ubrzava proces </w:t>
      </w:r>
      <w:r w:rsidRPr="00DC7523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>nabavke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, jer nakon što su </w:t>
      </w:r>
      <w:r w:rsidR="00BD032F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privredni subjekti 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kvalifikovani, </w:t>
      </w:r>
      <w:r w:rsidR="00BD032F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pozivaju se 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da dostave ponude za konkretne </w:t>
      </w:r>
      <w:r w:rsidR="00A26B5B">
        <w:rPr>
          <w:rFonts w:ascii="Segoe UI" w:eastAsiaTheme="minorHAnsi" w:hAnsi="Segoe UI" w:cs="Segoe UI"/>
          <w:kern w:val="2"/>
          <w:lang w:eastAsia="en-US"/>
          <w14:ligatures w14:val="standardContextual"/>
        </w:rPr>
        <w:t>potrebe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>, bez potrebe za ponovnim dugotrajnim procesom</w:t>
      </w:r>
      <w:r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nabavke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>. Ovo značajno skraćuje vreme koje je potrebno da se sprovede nabavka, čime se poboljšava operativna efikasnost.</w:t>
      </w:r>
      <w:r w:rsidR="00BD032F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</w:t>
      </w:r>
      <w:r w:rsidR="00E03D9C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SDN </w:t>
      </w:r>
      <w:r w:rsidR="00E03D9C" w:rsidRPr="00DC7523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>omogućava naručiocima fleksibilnost</w:t>
      </w:r>
      <w:r w:rsidR="00E03D9C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, jer inicijalno prilikom uspostavljanja SDN-a nisu dužni da određuju </w:t>
      </w:r>
      <w:r w:rsidR="00A26B5B">
        <w:rPr>
          <w:rFonts w:ascii="Segoe UI" w:eastAsiaTheme="minorHAnsi" w:hAnsi="Segoe UI" w:cs="Segoe UI"/>
          <w:kern w:val="2"/>
          <w:lang w:eastAsia="en-US"/>
          <w14:ligatures w14:val="standardContextual"/>
        </w:rPr>
        <w:t>detaljne</w:t>
      </w:r>
      <w:r w:rsidR="00E03D9C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tehničke specifikacije predmeta nabavke, već ih mogu prilagođavati tokom vremena u skladu sa tržišnim prilikama i svojim objektivnim potrebama</w:t>
      </w:r>
      <w:r w:rsidR="00447CE9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prilikom pozivanja kvalifikovanih kandidata </w:t>
      </w:r>
      <w:r w:rsidR="00447CE9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lastRenderedPageBreak/>
        <w:t>da podnesu ponude</w:t>
      </w:r>
      <w:r w:rsidR="00E03D9C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. 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Proces je jasan i dostupan svim zainteresovanim </w:t>
      </w:r>
      <w:r w:rsidR="00BD032F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>privrednim subjektima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koji ispunjavaju </w:t>
      </w:r>
      <w:r w:rsidR="00BD032F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>kriterijume za kvalitativni izbor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, čime se </w:t>
      </w:r>
      <w:r w:rsidR="00407BCA" w:rsidRPr="00DC7523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 xml:space="preserve">smanjuju mogućnosti za </w:t>
      </w:r>
      <w:r w:rsidR="003505EB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>zloupotrebe</w:t>
      </w:r>
      <w:r w:rsidR="00407BCA" w:rsidRPr="00DC7523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 xml:space="preserve"> ili favorizovanje pojedinih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</w:t>
      </w:r>
      <w:r w:rsidR="00BD032F" w:rsidRPr="00DC7523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>privrednih subjekata</w:t>
      </w:r>
      <w:r w:rsidR="00407BCA" w:rsidRPr="00DC7523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>.</w:t>
      </w:r>
      <w:r w:rsidR="00BD032F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</w:t>
      </w:r>
    </w:p>
    <w:p w14:paraId="70FEAC2C" w14:textId="0A8D4C14" w:rsidR="00407BCA" w:rsidRPr="00DC7523" w:rsidRDefault="00407BCA" w:rsidP="00B7087D">
      <w:pPr>
        <w:pStyle w:val="NormalWeb"/>
        <w:numPr>
          <w:ilvl w:val="0"/>
          <w:numId w:val="2"/>
        </w:numPr>
        <w:jc w:val="both"/>
        <w:rPr>
          <w:rFonts w:ascii="Segoe UI" w:eastAsiaTheme="minorHAnsi" w:hAnsi="Segoe UI" w:cs="Segoe UI"/>
          <w:b/>
        </w:rPr>
      </w:pPr>
      <w:r w:rsidRPr="00DC7523">
        <w:rPr>
          <w:rFonts w:ascii="Segoe UI" w:eastAsiaTheme="minorHAnsi" w:hAnsi="Segoe UI" w:cs="Segoe UI"/>
          <w:b/>
        </w:rPr>
        <w:t xml:space="preserve">Izazovi primene </w:t>
      </w:r>
      <w:r w:rsidR="003505EB">
        <w:rPr>
          <w:rFonts w:ascii="Segoe UI" w:eastAsiaTheme="minorHAnsi" w:hAnsi="Segoe UI" w:cs="Segoe UI"/>
          <w:b/>
        </w:rPr>
        <w:t>SDN-a</w:t>
      </w:r>
    </w:p>
    <w:p w14:paraId="57439072" w14:textId="7A5E91CB" w:rsidR="0027792F" w:rsidRPr="00DC7523" w:rsidRDefault="00E03D9C" w:rsidP="0027792F">
      <w:pPr>
        <w:pStyle w:val="NormalWeb"/>
        <w:jc w:val="both"/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</w:pPr>
      <w:r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>Uspostavljanje i vođenje SDN-a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u poređenju sa tradicionalnim sistemima nabavke</w:t>
      </w:r>
      <w:r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zahteva kontinuirano praćenje i administraciju, odnosno kvalifikaciju privrednih subjekata koji podnose prijave za ulazak u sistem</w:t>
      </w:r>
      <w:r w:rsidR="0027792F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, što na neki način </w:t>
      </w:r>
      <w:r w:rsidR="0027792F" w:rsidRPr="00DC7523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>može dovesti do administrativnog opterećenja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>.</w:t>
      </w:r>
      <w:r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Otvorenost </w:t>
      </w:r>
      <w:r w:rsidR="0027792F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>SDN-a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za nove </w:t>
      </w:r>
      <w:r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 privredne subjekte 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može dovesti </w:t>
      </w:r>
      <w:r w:rsidR="003505EB">
        <w:rPr>
          <w:rFonts w:ascii="Segoe UI" w:eastAsiaTheme="minorHAnsi" w:hAnsi="Segoe UI" w:cs="Segoe UI"/>
          <w:kern w:val="2"/>
          <w:lang w:eastAsia="en-US"/>
          <w14:ligatures w14:val="standardContextual"/>
        </w:rPr>
        <w:t>velikog broja prijava</w:t>
      </w:r>
      <w:r w:rsidR="00407BCA" w:rsidRPr="00DC7523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, što može biti </w:t>
      </w:r>
      <w:r w:rsidR="00407BCA" w:rsidRPr="00DC7523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>izazov za upravljanje.</w:t>
      </w:r>
      <w:r w:rsidR="00A26B5B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 xml:space="preserve"> </w:t>
      </w:r>
      <w:r w:rsidR="00A26B5B" w:rsidRPr="00A26B5B">
        <w:rPr>
          <w:rFonts w:ascii="Segoe UI" w:eastAsiaTheme="minorHAnsi" w:hAnsi="Segoe UI" w:cs="Segoe UI"/>
          <w:kern w:val="2"/>
          <w:lang w:eastAsia="en-US"/>
          <w14:ligatures w14:val="standardContextual"/>
        </w:rPr>
        <w:t>Takođe,</w:t>
      </w:r>
      <w:r w:rsidR="00A26B5B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 xml:space="preserve"> </w:t>
      </w:r>
      <w:r w:rsidR="00BF4367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uzimajući u obzir minimalni rok za podnošenje ponude od 10 dana u drugoj fazi postupka, </w:t>
      </w:r>
      <w:r w:rsidR="00A26B5B" w:rsidRPr="00A26B5B">
        <w:rPr>
          <w:rFonts w:ascii="Segoe UI" w:eastAsiaTheme="minorHAnsi" w:hAnsi="Segoe UI" w:cs="Segoe UI"/>
          <w:kern w:val="2"/>
          <w:lang w:eastAsia="en-US"/>
          <w14:ligatures w14:val="standardContextual"/>
        </w:rPr>
        <w:t>iz</w:t>
      </w:r>
      <w:r w:rsidR="00855CFF">
        <w:rPr>
          <w:rFonts w:ascii="Segoe UI" w:eastAsiaTheme="minorHAnsi" w:hAnsi="Segoe UI" w:cs="Segoe UI"/>
          <w:kern w:val="2"/>
          <w:lang w:eastAsia="en-US"/>
          <w14:ligatures w14:val="standardContextual"/>
        </w:rPr>
        <w:t>i</w:t>
      </w:r>
      <w:r w:rsidR="00A26B5B" w:rsidRPr="00A26B5B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skuje </w:t>
      </w:r>
      <w:r w:rsidR="00BF4367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blagovremeno </w:t>
      </w:r>
      <w:r w:rsidR="00A26B5B" w:rsidRPr="00A26B5B">
        <w:rPr>
          <w:rFonts w:ascii="Segoe UI" w:eastAsiaTheme="minorHAnsi" w:hAnsi="Segoe UI" w:cs="Segoe UI"/>
          <w:kern w:val="2"/>
          <w:lang w:eastAsia="en-US"/>
          <w14:ligatures w14:val="standardContextual"/>
        </w:rPr>
        <w:t>planiranje svake pojedinačne nabavke</w:t>
      </w:r>
      <w:r w:rsidR="00BF4367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 xml:space="preserve">, </w:t>
      </w:r>
      <w:r w:rsidR="00BF4367" w:rsidRPr="00BF4367">
        <w:rPr>
          <w:rFonts w:ascii="Segoe UI" w:eastAsiaTheme="minorHAnsi" w:hAnsi="Segoe UI" w:cs="Segoe UI"/>
          <w:kern w:val="2"/>
          <w:lang w:eastAsia="en-US"/>
          <w14:ligatures w14:val="standardContextual"/>
        </w:rPr>
        <w:t xml:space="preserve">odnosno </w:t>
      </w:r>
      <w:r w:rsidR="00BF4367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>nije praktičan za hitne situacije (npr. hitne popravke opreme)</w:t>
      </w:r>
      <w:r w:rsidR="005835CE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>.</w:t>
      </w:r>
      <w:r w:rsidR="00BF4367">
        <w:rPr>
          <w:rFonts w:ascii="Segoe UI" w:eastAsiaTheme="minorHAnsi" w:hAnsi="Segoe UI" w:cs="Segoe UI"/>
          <w:b/>
          <w:kern w:val="2"/>
          <w:lang w:eastAsia="en-US"/>
          <w14:ligatures w14:val="standardContextual"/>
        </w:rPr>
        <w:t xml:space="preserve"> </w:t>
      </w:r>
    </w:p>
    <w:p w14:paraId="556B8FC3" w14:textId="6484D3F7" w:rsidR="0027792F" w:rsidRDefault="0027792F" w:rsidP="001C75B2">
      <w:pPr>
        <w:pStyle w:val="Heading2"/>
        <w:numPr>
          <w:ilvl w:val="0"/>
          <w:numId w:val="24"/>
        </w:numPr>
        <w:rPr>
          <w:rFonts w:ascii="Segoe UI" w:eastAsiaTheme="minorHAnsi" w:hAnsi="Segoe UI" w:cs="Segoe UI"/>
          <w:b/>
          <w:bCs/>
          <w:color w:val="6EDA69"/>
          <w:sz w:val="40"/>
          <w:szCs w:val="40"/>
        </w:rPr>
      </w:pPr>
      <w:bookmarkStart w:id="6" w:name="_Toc183435399"/>
      <w:r w:rsidRPr="001C75B2">
        <w:rPr>
          <w:rFonts w:ascii="Segoe UI" w:eastAsiaTheme="minorHAnsi" w:hAnsi="Segoe UI" w:cs="Segoe UI"/>
          <w:b/>
          <w:bCs/>
          <w:color w:val="6EDA69"/>
          <w:sz w:val="40"/>
          <w:szCs w:val="40"/>
        </w:rPr>
        <w:t xml:space="preserve">Razlike </w:t>
      </w:r>
      <w:r w:rsidR="008F119C" w:rsidRPr="001C75B2">
        <w:rPr>
          <w:rFonts w:ascii="Segoe UI" w:eastAsiaTheme="minorHAnsi" w:hAnsi="Segoe UI" w:cs="Segoe UI"/>
          <w:b/>
          <w:bCs/>
          <w:color w:val="6EDA69"/>
          <w:sz w:val="40"/>
          <w:szCs w:val="40"/>
        </w:rPr>
        <w:t>izme</w:t>
      </w:r>
      <w:r w:rsidR="0061569F" w:rsidRPr="001C75B2">
        <w:rPr>
          <w:rFonts w:ascii="Segoe UI" w:eastAsiaTheme="minorHAnsi" w:hAnsi="Segoe UI" w:cs="Segoe UI"/>
          <w:b/>
          <w:bCs/>
          <w:color w:val="6EDA69"/>
          <w:sz w:val="40"/>
          <w:szCs w:val="40"/>
        </w:rPr>
        <w:t>đ</w:t>
      </w:r>
      <w:r w:rsidR="008F119C" w:rsidRPr="001C75B2">
        <w:rPr>
          <w:rFonts w:ascii="Segoe UI" w:eastAsiaTheme="minorHAnsi" w:hAnsi="Segoe UI" w:cs="Segoe UI"/>
          <w:b/>
          <w:bCs/>
          <w:color w:val="6EDA69"/>
          <w:sz w:val="40"/>
          <w:szCs w:val="40"/>
        </w:rPr>
        <w:t>u okvirnog sporazuma i SDN-a</w:t>
      </w:r>
      <w:bookmarkEnd w:id="6"/>
    </w:p>
    <w:p w14:paraId="56C4A10B" w14:textId="77777777" w:rsidR="00EB25A1" w:rsidRPr="00EB25A1" w:rsidRDefault="00EB25A1" w:rsidP="00EB25A1"/>
    <w:p w14:paraId="7EE10436" w14:textId="41AEEC34" w:rsidR="0064245E" w:rsidRDefault="008F119C" w:rsidP="008F119C">
      <w:pPr>
        <w:jc w:val="both"/>
        <w:rPr>
          <w:rFonts w:ascii="Segoe UI" w:hAnsi="Segoe UI" w:cs="Segoe UI"/>
        </w:rPr>
      </w:pPr>
      <w:r w:rsidRPr="00DC7523">
        <w:rPr>
          <w:rFonts w:ascii="Segoe UI" w:hAnsi="Segoe UI" w:cs="Segoe UI"/>
        </w:rPr>
        <w:t>Uzimajući u obzir da su okvirni sporazumi</w:t>
      </w:r>
      <w:r w:rsidR="00B64B9C" w:rsidRPr="00DC7523">
        <w:rPr>
          <w:rFonts w:ascii="Segoe UI" w:hAnsi="Segoe UI" w:cs="Segoe UI"/>
        </w:rPr>
        <w:t xml:space="preserve"> (OS)</w:t>
      </w:r>
      <w:r w:rsidRPr="00DC7523">
        <w:rPr>
          <w:rFonts w:ascii="Segoe UI" w:hAnsi="Segoe UI" w:cs="Segoe UI"/>
        </w:rPr>
        <w:t xml:space="preserve"> i SDN osmišljeni kao alati koji doprinose efikasnosti javne nabavke i povećanju konkurentnosti, te da je </w:t>
      </w:r>
      <w:r w:rsidR="0064245E" w:rsidRPr="00DC7523">
        <w:rPr>
          <w:rFonts w:ascii="Segoe UI" w:hAnsi="Segoe UI" w:cs="Segoe UI"/>
        </w:rPr>
        <w:t xml:space="preserve">u suštini njihova </w:t>
      </w:r>
      <w:r w:rsidR="00F41606" w:rsidRPr="00DC7523">
        <w:rPr>
          <w:rFonts w:ascii="Segoe UI" w:hAnsi="Segoe UI" w:cs="Segoe UI"/>
        </w:rPr>
        <w:t xml:space="preserve">svrha </w:t>
      </w:r>
      <w:r w:rsidR="0064245E" w:rsidRPr="00DC7523">
        <w:rPr>
          <w:rFonts w:ascii="Segoe UI" w:hAnsi="Segoe UI" w:cs="Segoe UI"/>
        </w:rPr>
        <w:t xml:space="preserve">ista, </w:t>
      </w:r>
      <w:r w:rsidRPr="00DC7523">
        <w:rPr>
          <w:rFonts w:ascii="Segoe UI" w:hAnsi="Segoe UI" w:cs="Segoe UI"/>
        </w:rPr>
        <w:t xml:space="preserve">u nastavku su date </w:t>
      </w:r>
      <w:r w:rsidR="0064245E" w:rsidRPr="00DC7523">
        <w:rPr>
          <w:rFonts w:ascii="Segoe UI" w:hAnsi="Segoe UI" w:cs="Segoe UI"/>
        </w:rPr>
        <w:t xml:space="preserve">neke od </w:t>
      </w:r>
      <w:r w:rsidRPr="00DC7523">
        <w:rPr>
          <w:rFonts w:ascii="Segoe UI" w:hAnsi="Segoe UI" w:cs="Segoe UI"/>
        </w:rPr>
        <w:t>ključn</w:t>
      </w:r>
      <w:r w:rsidR="0064245E" w:rsidRPr="00DC7523">
        <w:rPr>
          <w:rFonts w:ascii="Segoe UI" w:hAnsi="Segoe UI" w:cs="Segoe UI"/>
        </w:rPr>
        <w:t>ih</w:t>
      </w:r>
      <w:r w:rsidRPr="00DC7523">
        <w:rPr>
          <w:rFonts w:ascii="Segoe UI" w:hAnsi="Segoe UI" w:cs="Segoe UI"/>
        </w:rPr>
        <w:t xml:space="preserve"> razlik</w:t>
      </w:r>
      <w:r w:rsidR="0064245E" w:rsidRPr="00DC7523">
        <w:rPr>
          <w:rFonts w:ascii="Segoe UI" w:hAnsi="Segoe UI" w:cs="Segoe UI"/>
        </w:rPr>
        <w:t>a</w:t>
      </w:r>
      <w:r w:rsidRPr="00DC7523">
        <w:rPr>
          <w:rFonts w:ascii="Segoe UI" w:hAnsi="Segoe UI" w:cs="Segoe UI"/>
        </w:rPr>
        <w:t xml:space="preserve"> između ove dve tehnike, kako bi naručioci </w:t>
      </w:r>
      <w:r w:rsidR="0064245E" w:rsidRPr="00DC7523">
        <w:rPr>
          <w:rFonts w:ascii="Segoe UI" w:hAnsi="Segoe UI" w:cs="Segoe UI"/>
        </w:rPr>
        <w:t xml:space="preserve">mogli da bolje sagledaju koju tehniku je najprimerenije koristiti za svoje konkretne nabavke. </w:t>
      </w:r>
    </w:p>
    <w:p w14:paraId="6EA86E97" w14:textId="77777777" w:rsidR="00E5578C" w:rsidRDefault="00E5578C" w:rsidP="008F119C">
      <w:pPr>
        <w:jc w:val="both"/>
        <w:rPr>
          <w:rFonts w:ascii="Segoe UI" w:hAnsi="Segoe UI" w:cs="Segoe UI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88"/>
        <w:gridCol w:w="3407"/>
        <w:gridCol w:w="4819"/>
      </w:tblGrid>
      <w:tr w:rsidR="0064245E" w:rsidRPr="00DC7523" w14:paraId="78182B3C" w14:textId="77777777" w:rsidTr="00B64B9C">
        <w:tc>
          <w:tcPr>
            <w:tcW w:w="988" w:type="dxa"/>
            <w:shd w:val="clear" w:color="auto" w:fill="C4F0C2" w:themeFill="accent3" w:themeFillTint="66"/>
          </w:tcPr>
          <w:p w14:paraId="2B5766F4" w14:textId="77777777" w:rsidR="0064245E" w:rsidRPr="00DC7523" w:rsidRDefault="0064245E" w:rsidP="00B37D0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1.</w:t>
            </w:r>
          </w:p>
        </w:tc>
        <w:tc>
          <w:tcPr>
            <w:tcW w:w="8226" w:type="dxa"/>
            <w:gridSpan w:val="2"/>
            <w:shd w:val="clear" w:color="auto" w:fill="C4F0C2" w:themeFill="accent3" w:themeFillTint="66"/>
          </w:tcPr>
          <w:p w14:paraId="53156D8A" w14:textId="6F6580F3" w:rsidR="008F2D88" w:rsidRPr="00E5578C" w:rsidRDefault="00E5578C" w:rsidP="008F2D88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E5578C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PREDMETI NABAVKI</w:t>
            </w:r>
          </w:p>
        </w:tc>
      </w:tr>
      <w:tr w:rsidR="0064245E" w:rsidRPr="00DC7523" w14:paraId="257D341D" w14:textId="77777777" w:rsidTr="00DA2030">
        <w:trPr>
          <w:trHeight w:val="349"/>
        </w:trPr>
        <w:tc>
          <w:tcPr>
            <w:tcW w:w="4395" w:type="dxa"/>
            <w:gridSpan w:val="2"/>
            <w:shd w:val="clear" w:color="auto" w:fill="C4F0C2" w:themeFill="accent3" w:themeFillTint="66"/>
          </w:tcPr>
          <w:p w14:paraId="523F9069" w14:textId="0F26C4E1" w:rsidR="0064245E" w:rsidRPr="00DC7523" w:rsidRDefault="0064245E" w:rsidP="00B37D0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SDN</w:t>
            </w:r>
          </w:p>
        </w:tc>
        <w:tc>
          <w:tcPr>
            <w:tcW w:w="4819" w:type="dxa"/>
            <w:shd w:val="clear" w:color="auto" w:fill="C4F0C2" w:themeFill="accent3" w:themeFillTint="66"/>
          </w:tcPr>
          <w:p w14:paraId="6B93F079" w14:textId="77777777" w:rsidR="0064245E" w:rsidRPr="00DC7523" w:rsidRDefault="0064245E" w:rsidP="00B37D0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OS</w:t>
            </w:r>
          </w:p>
        </w:tc>
      </w:tr>
      <w:tr w:rsidR="0064245E" w:rsidRPr="00DC7523" w14:paraId="7DFA269B" w14:textId="77777777" w:rsidTr="00DA2030">
        <w:tc>
          <w:tcPr>
            <w:tcW w:w="4395" w:type="dxa"/>
            <w:gridSpan w:val="2"/>
          </w:tcPr>
          <w:p w14:paraId="283335A7" w14:textId="42AB3F98" w:rsidR="00E5578C" w:rsidRPr="008F2D88" w:rsidRDefault="008F2D88" w:rsidP="0064245E">
            <w:pPr>
              <w:spacing w:before="100" w:beforeAutospacing="1" w:after="100" w:afterAutospacing="1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Može da se koristi samo</w:t>
            </w:r>
            <w:r w:rsidR="00C242DB">
              <w:rPr>
                <w:rFonts w:ascii="Segoe UI" w:hAnsi="Segoe UI" w:cs="Segoe UI"/>
              </w:rPr>
              <w:t xml:space="preserve"> za</w:t>
            </w:r>
            <w:r w:rsidR="0064245E" w:rsidRPr="004141E1">
              <w:rPr>
                <w:rFonts w:ascii="Segoe UI" w:hAnsi="Segoe UI" w:cs="Segoe UI"/>
              </w:rPr>
              <w:t xml:space="preserve"> predmete nabavki koji su opštedostupni na tržištu i koji kao takvi mogu da zadovolje potrebe naručioca</w:t>
            </w:r>
            <w:r w:rsidR="0064245E" w:rsidRPr="00DC7523">
              <w:rPr>
                <w:rFonts w:ascii="Segoe UI" w:hAnsi="Segoe UI" w:cs="Segoe UI"/>
              </w:rPr>
              <w:t>.</w:t>
            </w:r>
          </w:p>
        </w:tc>
        <w:tc>
          <w:tcPr>
            <w:tcW w:w="4819" w:type="dxa"/>
          </w:tcPr>
          <w:p w14:paraId="4F9E10DF" w14:textId="018BD406" w:rsidR="0064245E" w:rsidRPr="00E5578C" w:rsidRDefault="0064245E" w:rsidP="00B37D01">
            <w:pPr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E5578C">
              <w:rPr>
                <w:rFonts w:ascii="Segoe UI" w:hAnsi="Segoe UI" w:cs="Segoe UI"/>
                <w:sz w:val="24"/>
                <w:szCs w:val="24"/>
              </w:rPr>
              <w:t>Nema ograničenja u pogledu predmeta nabavke</w:t>
            </w:r>
            <w:r w:rsidR="0061569F" w:rsidRPr="00E5578C">
              <w:rPr>
                <w:rFonts w:ascii="Segoe UI" w:hAnsi="Segoe UI" w:cs="Segoe UI"/>
                <w:sz w:val="24"/>
                <w:szCs w:val="24"/>
              </w:rPr>
              <w:t>.</w:t>
            </w:r>
            <w:r w:rsidR="008F2D8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64245E" w:rsidRPr="00DC7523" w14:paraId="21B113CA" w14:textId="77777777" w:rsidTr="00B64B9C">
        <w:tc>
          <w:tcPr>
            <w:tcW w:w="988" w:type="dxa"/>
            <w:shd w:val="clear" w:color="auto" w:fill="C4F0C2" w:themeFill="accent3" w:themeFillTint="66"/>
          </w:tcPr>
          <w:p w14:paraId="00A80239" w14:textId="77777777" w:rsidR="0064245E" w:rsidRPr="00DC7523" w:rsidRDefault="0064245E" w:rsidP="00B37D0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2.</w:t>
            </w:r>
          </w:p>
        </w:tc>
        <w:tc>
          <w:tcPr>
            <w:tcW w:w="8226" w:type="dxa"/>
            <w:gridSpan w:val="2"/>
            <w:shd w:val="clear" w:color="auto" w:fill="C4F0C2" w:themeFill="accent3" w:themeFillTint="66"/>
          </w:tcPr>
          <w:p w14:paraId="4869E633" w14:textId="07433C48" w:rsidR="0064245E" w:rsidRPr="00E5578C" w:rsidRDefault="00E5578C" w:rsidP="00B37D0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E5578C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TRAJANJE</w:t>
            </w:r>
          </w:p>
        </w:tc>
      </w:tr>
      <w:tr w:rsidR="0064245E" w:rsidRPr="00DC7523" w14:paraId="185E36C9" w14:textId="77777777" w:rsidTr="00DA2030">
        <w:trPr>
          <w:trHeight w:val="364"/>
        </w:trPr>
        <w:tc>
          <w:tcPr>
            <w:tcW w:w="4395" w:type="dxa"/>
            <w:gridSpan w:val="2"/>
            <w:shd w:val="clear" w:color="auto" w:fill="C4F0C2" w:themeFill="accent3" w:themeFillTint="66"/>
          </w:tcPr>
          <w:p w14:paraId="2150E27C" w14:textId="49DEB383" w:rsidR="0064245E" w:rsidRPr="00DC7523" w:rsidRDefault="002D2100" w:rsidP="00B37D0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SDN</w:t>
            </w:r>
          </w:p>
        </w:tc>
        <w:tc>
          <w:tcPr>
            <w:tcW w:w="4819" w:type="dxa"/>
            <w:shd w:val="clear" w:color="auto" w:fill="C4F0C2" w:themeFill="accent3" w:themeFillTint="66"/>
          </w:tcPr>
          <w:p w14:paraId="370D6811" w14:textId="77777777" w:rsidR="0064245E" w:rsidRPr="00DC7523" w:rsidRDefault="0064245E" w:rsidP="00B37D0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OS</w:t>
            </w:r>
          </w:p>
        </w:tc>
      </w:tr>
      <w:tr w:rsidR="0064245E" w:rsidRPr="00DC7523" w14:paraId="0323E98E" w14:textId="77777777" w:rsidTr="00DA2030">
        <w:tc>
          <w:tcPr>
            <w:tcW w:w="4395" w:type="dxa"/>
            <w:gridSpan w:val="2"/>
          </w:tcPr>
          <w:p w14:paraId="716871FE" w14:textId="7C3ACA22" w:rsidR="0064245E" w:rsidRPr="00DC7523" w:rsidRDefault="0064245E" w:rsidP="00B37D01">
            <w:pPr>
              <w:pStyle w:val="FootnoteText"/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b/>
                <w:color w:val="212529"/>
                <w:kern w:val="0"/>
                <w:sz w:val="22"/>
                <w:szCs w:val="22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color w:val="212529"/>
                <w:kern w:val="0"/>
                <w:sz w:val="22"/>
                <w:szCs w:val="22"/>
                <w:lang w:eastAsia="sr-Latn-RS"/>
                <w14:ligatures w14:val="none"/>
              </w:rPr>
              <w:t>Nema ograničenja u pogledu trajanja</w:t>
            </w:r>
            <w:r w:rsidR="00B01B44">
              <w:rPr>
                <w:rFonts w:ascii="Segoe UI" w:eastAsia="Times New Roman" w:hAnsi="Segoe UI" w:cs="Segoe UI"/>
                <w:color w:val="212529"/>
                <w:kern w:val="0"/>
                <w:sz w:val="22"/>
                <w:szCs w:val="22"/>
                <w:lang w:eastAsia="sr-Latn-RS"/>
                <w14:ligatures w14:val="none"/>
              </w:rPr>
              <w:t>. N</w:t>
            </w:r>
            <w:r w:rsidRPr="00DC7523">
              <w:rPr>
                <w:rFonts w:ascii="Segoe UI" w:eastAsia="Times New Roman" w:hAnsi="Segoe UI" w:cs="Segoe UI"/>
                <w:color w:val="212529"/>
                <w:kern w:val="0"/>
                <w:sz w:val="22"/>
                <w:szCs w:val="22"/>
                <w:lang w:eastAsia="sr-Latn-RS"/>
                <w14:ligatures w14:val="none"/>
              </w:rPr>
              <w:t xml:space="preserve">aručilac određuje </w:t>
            </w:r>
            <w:r w:rsidR="008F2D88">
              <w:rPr>
                <w:rFonts w:ascii="Segoe UI" w:eastAsia="Times New Roman" w:hAnsi="Segoe UI" w:cs="Segoe UI"/>
                <w:color w:val="212529"/>
                <w:kern w:val="0"/>
                <w:sz w:val="22"/>
                <w:szCs w:val="22"/>
                <w:lang w:eastAsia="sr-Latn-RS"/>
                <w14:ligatures w14:val="none"/>
              </w:rPr>
              <w:t xml:space="preserve">njegovo </w:t>
            </w:r>
            <w:r w:rsidRPr="00DC7523">
              <w:rPr>
                <w:rFonts w:ascii="Segoe UI" w:eastAsia="Times New Roman" w:hAnsi="Segoe UI" w:cs="Segoe UI"/>
                <w:color w:val="212529"/>
                <w:kern w:val="0"/>
                <w:sz w:val="22"/>
                <w:szCs w:val="22"/>
                <w:lang w:eastAsia="sr-Latn-RS"/>
                <w14:ligatures w14:val="none"/>
              </w:rPr>
              <w:t>trajanje</w:t>
            </w:r>
            <w:r w:rsidR="008F2D88">
              <w:rPr>
                <w:rFonts w:ascii="Segoe UI" w:eastAsia="Times New Roman" w:hAnsi="Segoe UI" w:cs="Segoe UI"/>
                <w:color w:val="212529"/>
                <w:kern w:val="0"/>
                <w:sz w:val="22"/>
                <w:szCs w:val="22"/>
                <w:lang w:eastAsia="sr-Latn-RS"/>
                <w14:ligatures w14:val="none"/>
              </w:rPr>
              <w:t xml:space="preserve"> prilikom kreiranja dokumentacije o nabavci na Portalu i </w:t>
            </w:r>
            <w:r w:rsidRPr="00DC7523">
              <w:rPr>
                <w:rFonts w:ascii="Segoe UI" w:eastAsia="Times New Roman" w:hAnsi="Segoe UI" w:cs="Segoe UI"/>
                <w:color w:val="212529"/>
                <w:kern w:val="0"/>
                <w:sz w:val="22"/>
                <w:szCs w:val="22"/>
                <w:lang w:eastAsia="sr-Latn-RS"/>
                <w14:ligatures w14:val="none"/>
              </w:rPr>
              <w:t xml:space="preserve">ima mogućnost da produži ili ranije okonča uspostavljen SDN. </w:t>
            </w:r>
          </w:p>
        </w:tc>
        <w:tc>
          <w:tcPr>
            <w:tcW w:w="4819" w:type="dxa"/>
          </w:tcPr>
          <w:p w14:paraId="4EEA0739" w14:textId="3EB3706D" w:rsidR="008F2D88" w:rsidRPr="00DC7523" w:rsidRDefault="0064245E" w:rsidP="008F2D88">
            <w:pPr>
              <w:pStyle w:val="FootnoteText"/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color w:val="212529"/>
                <w:kern w:val="0"/>
                <w:sz w:val="22"/>
                <w:szCs w:val="22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color w:val="212529"/>
                <w:kern w:val="0"/>
                <w:sz w:val="22"/>
                <w:szCs w:val="22"/>
                <w:lang w:eastAsia="sr-Latn-RS"/>
                <w14:ligatures w14:val="none"/>
              </w:rPr>
              <w:t xml:space="preserve">Može da traje najviše </w:t>
            </w:r>
            <w:r w:rsidR="00B01B44">
              <w:rPr>
                <w:rFonts w:ascii="Segoe UI" w:eastAsia="Times New Roman" w:hAnsi="Segoe UI" w:cs="Segoe UI"/>
                <w:color w:val="212529"/>
                <w:kern w:val="0"/>
                <w:sz w:val="22"/>
                <w:szCs w:val="22"/>
                <w:lang w:eastAsia="sr-Latn-RS"/>
                <w14:ligatures w14:val="none"/>
              </w:rPr>
              <w:t>četiri</w:t>
            </w:r>
            <w:r w:rsidR="003505EB">
              <w:rPr>
                <w:rFonts w:ascii="Segoe UI" w:eastAsia="Times New Roman" w:hAnsi="Segoe UI" w:cs="Segoe UI"/>
                <w:color w:val="212529"/>
                <w:kern w:val="0"/>
                <w:sz w:val="22"/>
                <w:szCs w:val="22"/>
                <w:lang w:eastAsia="sr-Latn-RS"/>
                <w14:ligatures w14:val="none"/>
              </w:rPr>
              <w:t xml:space="preserve"> </w:t>
            </w:r>
            <w:r w:rsidRPr="00DC7523">
              <w:rPr>
                <w:rFonts w:ascii="Segoe UI" w:eastAsia="Times New Roman" w:hAnsi="Segoe UI" w:cs="Segoe UI"/>
                <w:color w:val="212529"/>
                <w:kern w:val="0"/>
                <w:sz w:val="22"/>
                <w:szCs w:val="22"/>
                <w:lang w:eastAsia="sr-Latn-RS"/>
                <w14:ligatures w14:val="none"/>
              </w:rPr>
              <w:t>godine, osim u posebno opravdanim slučajevima koji su u vezi sa predmetom nabavke i koje naručilac mora da obrazloži</w:t>
            </w:r>
            <w:r w:rsidR="002D2100" w:rsidRPr="00DC7523">
              <w:rPr>
                <w:rFonts w:ascii="Segoe UI" w:eastAsia="Times New Roman" w:hAnsi="Segoe UI" w:cs="Segoe UI"/>
                <w:color w:val="212529"/>
                <w:kern w:val="0"/>
                <w:sz w:val="22"/>
                <w:szCs w:val="22"/>
                <w:lang w:eastAsia="sr-Latn-RS"/>
                <w14:ligatures w14:val="none"/>
              </w:rPr>
              <w:t>.</w:t>
            </w:r>
          </w:p>
        </w:tc>
      </w:tr>
      <w:tr w:rsidR="0064245E" w:rsidRPr="00DC7523" w14:paraId="7191501D" w14:textId="77777777" w:rsidTr="00B64B9C">
        <w:tc>
          <w:tcPr>
            <w:tcW w:w="988" w:type="dxa"/>
            <w:shd w:val="clear" w:color="auto" w:fill="C4F0C2" w:themeFill="accent3" w:themeFillTint="66"/>
          </w:tcPr>
          <w:p w14:paraId="13C3A9E1" w14:textId="77777777" w:rsidR="0064245E" w:rsidRPr="00DC7523" w:rsidRDefault="0064245E" w:rsidP="00B37D0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3.</w:t>
            </w:r>
          </w:p>
        </w:tc>
        <w:tc>
          <w:tcPr>
            <w:tcW w:w="8226" w:type="dxa"/>
            <w:gridSpan w:val="2"/>
            <w:shd w:val="clear" w:color="auto" w:fill="C4F0C2" w:themeFill="accent3" w:themeFillTint="66"/>
          </w:tcPr>
          <w:p w14:paraId="5458E68B" w14:textId="0D203D32" w:rsidR="0064245E" w:rsidRPr="00DC7523" w:rsidRDefault="00E5578C" w:rsidP="00B37D0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POSTUPAK JAVNE NABAVKE</w:t>
            </w:r>
          </w:p>
        </w:tc>
      </w:tr>
      <w:tr w:rsidR="0064245E" w:rsidRPr="00DC7523" w14:paraId="2EC10EA1" w14:textId="77777777" w:rsidTr="00DA2030">
        <w:trPr>
          <w:trHeight w:val="408"/>
        </w:trPr>
        <w:tc>
          <w:tcPr>
            <w:tcW w:w="4395" w:type="dxa"/>
            <w:gridSpan w:val="2"/>
            <w:shd w:val="clear" w:color="auto" w:fill="C4F0C2" w:themeFill="accent3" w:themeFillTint="66"/>
          </w:tcPr>
          <w:p w14:paraId="6EBB5EC5" w14:textId="6BC04BA1" w:rsidR="0064245E" w:rsidRPr="00DC7523" w:rsidRDefault="002D2100" w:rsidP="00B37D0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SDN</w:t>
            </w:r>
          </w:p>
        </w:tc>
        <w:tc>
          <w:tcPr>
            <w:tcW w:w="4819" w:type="dxa"/>
            <w:shd w:val="clear" w:color="auto" w:fill="C4F0C2" w:themeFill="accent3" w:themeFillTint="66"/>
          </w:tcPr>
          <w:p w14:paraId="252F9DAF" w14:textId="77777777" w:rsidR="0064245E" w:rsidRPr="00DC7523" w:rsidRDefault="0064245E" w:rsidP="00B37D0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OS</w:t>
            </w:r>
          </w:p>
        </w:tc>
      </w:tr>
      <w:tr w:rsidR="0064245E" w:rsidRPr="00DC7523" w14:paraId="6D105B57" w14:textId="77777777" w:rsidTr="00DA2030">
        <w:tc>
          <w:tcPr>
            <w:tcW w:w="4395" w:type="dxa"/>
            <w:gridSpan w:val="2"/>
          </w:tcPr>
          <w:p w14:paraId="3F5AF7FA" w14:textId="6EBE6520" w:rsidR="0064245E" w:rsidRPr="00DC7523" w:rsidRDefault="002D2100" w:rsidP="00B37D01">
            <w:pPr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color w:val="212529"/>
                <w:kern w:val="0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color w:val="212529"/>
                <w:kern w:val="0"/>
                <w:lang w:eastAsia="sr-Latn-RS"/>
                <w14:ligatures w14:val="none"/>
              </w:rPr>
              <w:t>Primena pravila restriktivnog postupka.</w:t>
            </w:r>
          </w:p>
          <w:p w14:paraId="44B836CE" w14:textId="77777777" w:rsidR="0064245E" w:rsidRDefault="0064245E" w:rsidP="00B37D01">
            <w:pPr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b/>
                <w:color w:val="212529"/>
                <w:kern w:val="0"/>
                <w:lang w:eastAsia="sr-Latn-RS"/>
                <w14:ligatures w14:val="none"/>
              </w:rPr>
            </w:pPr>
          </w:p>
          <w:p w14:paraId="1FE80238" w14:textId="038FF50A" w:rsidR="00056C0C" w:rsidRPr="00DC7523" w:rsidRDefault="00056C0C" w:rsidP="00B37D01">
            <w:pPr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b/>
                <w:color w:val="212529"/>
                <w:kern w:val="0"/>
                <w:lang w:eastAsia="sr-Latn-RS"/>
                <w14:ligatures w14:val="none"/>
              </w:rPr>
            </w:pPr>
          </w:p>
        </w:tc>
        <w:tc>
          <w:tcPr>
            <w:tcW w:w="4819" w:type="dxa"/>
          </w:tcPr>
          <w:p w14:paraId="22A9F45D" w14:textId="6A1B6330" w:rsidR="008F2D88" w:rsidRPr="008F2D88" w:rsidRDefault="002D2100" w:rsidP="008F2D88">
            <w:pPr>
              <w:spacing w:before="100" w:beforeAutospacing="1" w:after="120" w:afterAutospacing="1"/>
              <w:jc w:val="both"/>
              <w:rPr>
                <w:rFonts w:ascii="Segoe UI" w:hAnsi="Segoe UI" w:cs="Segoe UI"/>
                <w:bCs/>
              </w:rPr>
            </w:pPr>
            <w:r w:rsidRPr="00DC7523">
              <w:rPr>
                <w:rStyle w:val="Strong"/>
                <w:rFonts w:ascii="Segoe UI" w:hAnsi="Segoe UI" w:cs="Segoe UI"/>
                <w:b w:val="0"/>
              </w:rPr>
              <w:t xml:space="preserve">Može </w:t>
            </w:r>
            <w:r w:rsidR="008F2D88">
              <w:rPr>
                <w:rStyle w:val="Strong"/>
                <w:rFonts w:ascii="Segoe UI" w:hAnsi="Segoe UI" w:cs="Segoe UI"/>
                <w:b w:val="0"/>
              </w:rPr>
              <w:t xml:space="preserve">da se zaključi </w:t>
            </w:r>
            <w:r w:rsidR="00056C0C">
              <w:rPr>
                <w:rStyle w:val="Strong"/>
                <w:rFonts w:ascii="Segoe UI" w:hAnsi="Segoe UI" w:cs="Segoe UI"/>
                <w:b w:val="0"/>
              </w:rPr>
              <w:t>primenom pravila</w:t>
            </w:r>
            <w:r w:rsidRPr="00DC7523">
              <w:rPr>
                <w:rStyle w:val="Strong"/>
                <w:rFonts w:ascii="Segoe UI" w:hAnsi="Segoe UI" w:cs="Segoe UI"/>
                <w:b w:val="0"/>
              </w:rPr>
              <w:t xml:space="preserve"> bilo koj</w:t>
            </w:r>
            <w:r w:rsidR="00056C0C">
              <w:rPr>
                <w:rStyle w:val="Strong"/>
                <w:rFonts w:ascii="Segoe UI" w:hAnsi="Segoe UI" w:cs="Segoe UI"/>
                <w:b w:val="0"/>
              </w:rPr>
              <w:t>eg</w:t>
            </w:r>
            <w:r w:rsidRPr="00DC7523">
              <w:rPr>
                <w:rStyle w:val="Strong"/>
                <w:rFonts w:ascii="Segoe UI" w:hAnsi="Segoe UI" w:cs="Segoe UI"/>
                <w:b w:val="0"/>
              </w:rPr>
              <w:t xml:space="preserve"> postupk</w:t>
            </w:r>
            <w:r w:rsidR="00056C0C">
              <w:rPr>
                <w:rStyle w:val="Strong"/>
                <w:rFonts w:ascii="Segoe UI" w:hAnsi="Segoe UI" w:cs="Segoe UI"/>
                <w:b w:val="0"/>
              </w:rPr>
              <w:t>a</w:t>
            </w:r>
            <w:r w:rsidRPr="00DC7523">
              <w:rPr>
                <w:rStyle w:val="Strong"/>
                <w:rFonts w:ascii="Segoe UI" w:hAnsi="Segoe UI" w:cs="Segoe UI"/>
                <w:b w:val="0"/>
              </w:rPr>
              <w:t xml:space="preserve"> javne nabavke</w:t>
            </w:r>
            <w:r w:rsidR="00056C0C">
              <w:rPr>
                <w:rStyle w:val="Strong"/>
                <w:rFonts w:ascii="Segoe UI" w:hAnsi="Segoe UI" w:cs="Segoe UI"/>
                <w:b w:val="0"/>
              </w:rPr>
              <w:t>,</w:t>
            </w:r>
            <w:r w:rsidRPr="00DC7523">
              <w:rPr>
                <w:rStyle w:val="Strong"/>
                <w:rFonts w:ascii="Segoe UI" w:hAnsi="Segoe UI" w:cs="Segoe UI"/>
                <w:b w:val="0"/>
              </w:rPr>
              <w:t xml:space="preserve"> uzimajući u obzir pravila i uslove propisane za svaku vrstu postupka.</w:t>
            </w:r>
          </w:p>
        </w:tc>
      </w:tr>
      <w:tr w:rsidR="0064245E" w:rsidRPr="00DC7523" w14:paraId="034DADFF" w14:textId="77777777" w:rsidTr="00B64B9C">
        <w:tc>
          <w:tcPr>
            <w:tcW w:w="988" w:type="dxa"/>
            <w:shd w:val="clear" w:color="auto" w:fill="C4F0C2" w:themeFill="accent3" w:themeFillTint="66"/>
          </w:tcPr>
          <w:p w14:paraId="278D045B" w14:textId="77777777" w:rsidR="0064245E" w:rsidRPr="00DC7523" w:rsidRDefault="0064245E" w:rsidP="00B37D0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lastRenderedPageBreak/>
              <w:t>4.</w:t>
            </w:r>
          </w:p>
        </w:tc>
        <w:tc>
          <w:tcPr>
            <w:tcW w:w="8226" w:type="dxa"/>
            <w:gridSpan w:val="2"/>
            <w:shd w:val="clear" w:color="auto" w:fill="C4F0C2" w:themeFill="accent3" w:themeFillTint="66"/>
          </w:tcPr>
          <w:p w14:paraId="67ECD253" w14:textId="0FDD8E76" w:rsidR="0064245E" w:rsidRPr="00DC7523" w:rsidRDefault="00E5578C" w:rsidP="00B37D01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KONKURENTNOST</w:t>
            </w:r>
          </w:p>
        </w:tc>
      </w:tr>
      <w:tr w:rsidR="0064245E" w:rsidRPr="00DC7523" w14:paraId="5D1A5CEC" w14:textId="77777777" w:rsidTr="00DA2030">
        <w:trPr>
          <w:trHeight w:val="351"/>
        </w:trPr>
        <w:tc>
          <w:tcPr>
            <w:tcW w:w="4395" w:type="dxa"/>
            <w:gridSpan w:val="2"/>
            <w:shd w:val="clear" w:color="auto" w:fill="C4F0C2" w:themeFill="accent3" w:themeFillTint="66"/>
          </w:tcPr>
          <w:p w14:paraId="5618BC11" w14:textId="377DF997" w:rsidR="0064245E" w:rsidRPr="00DC7523" w:rsidRDefault="002D2100" w:rsidP="00B37D0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SDN</w:t>
            </w:r>
          </w:p>
        </w:tc>
        <w:tc>
          <w:tcPr>
            <w:tcW w:w="4819" w:type="dxa"/>
            <w:shd w:val="clear" w:color="auto" w:fill="C4F0C2" w:themeFill="accent3" w:themeFillTint="66"/>
          </w:tcPr>
          <w:p w14:paraId="0DF3CD5F" w14:textId="77777777" w:rsidR="0064245E" w:rsidRPr="00DC7523" w:rsidRDefault="0064245E" w:rsidP="00B37D0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OS</w:t>
            </w:r>
          </w:p>
        </w:tc>
      </w:tr>
      <w:tr w:rsidR="0064245E" w:rsidRPr="00DC7523" w14:paraId="1B3F7FE6" w14:textId="77777777" w:rsidTr="00DA2030">
        <w:tc>
          <w:tcPr>
            <w:tcW w:w="4395" w:type="dxa"/>
            <w:gridSpan w:val="2"/>
          </w:tcPr>
          <w:p w14:paraId="576BB867" w14:textId="6E6C25E4" w:rsidR="0064245E" w:rsidRPr="00DC7523" w:rsidRDefault="002D2100" w:rsidP="00B37D01">
            <w:pPr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color w:val="212529"/>
                <w:kern w:val="0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color w:val="212529"/>
                <w:kern w:val="0"/>
                <w:lang w:eastAsia="sr-Latn-RS"/>
                <w14:ligatures w14:val="none"/>
              </w:rPr>
              <w:t>Otvoren sistem – tokom trajanja može svaki zai</w:t>
            </w:r>
            <w:r w:rsidR="00956AB6">
              <w:rPr>
                <w:rFonts w:ascii="Segoe UI" w:eastAsia="Times New Roman" w:hAnsi="Segoe UI" w:cs="Segoe UI"/>
                <w:color w:val="212529"/>
                <w:kern w:val="0"/>
                <w:lang w:eastAsia="sr-Latn-RS"/>
                <w14:ligatures w14:val="none"/>
              </w:rPr>
              <w:t>n</w:t>
            </w:r>
            <w:r w:rsidRPr="00DC7523">
              <w:rPr>
                <w:rFonts w:ascii="Segoe UI" w:eastAsia="Times New Roman" w:hAnsi="Segoe UI" w:cs="Segoe UI"/>
                <w:color w:val="212529"/>
                <w:kern w:val="0"/>
                <w:lang w:eastAsia="sr-Latn-RS"/>
                <w14:ligatures w14:val="none"/>
              </w:rPr>
              <w:t>teresovani privredni subjekt da podnese prijavu i priključi se si</w:t>
            </w:r>
            <w:r w:rsidR="00E3377D">
              <w:rPr>
                <w:rFonts w:ascii="Segoe UI" w:eastAsia="Times New Roman" w:hAnsi="Segoe UI" w:cs="Segoe UI"/>
                <w:color w:val="212529"/>
                <w:kern w:val="0"/>
                <w:lang w:eastAsia="sr-Latn-RS"/>
                <w14:ligatures w14:val="none"/>
              </w:rPr>
              <w:t>s</w:t>
            </w:r>
            <w:r w:rsidRPr="00DC7523">
              <w:rPr>
                <w:rFonts w:ascii="Segoe UI" w:eastAsia="Times New Roman" w:hAnsi="Segoe UI" w:cs="Segoe UI"/>
                <w:color w:val="212529"/>
                <w:kern w:val="0"/>
                <w:lang w:eastAsia="sr-Latn-RS"/>
                <w14:ligatures w14:val="none"/>
              </w:rPr>
              <w:t>temu ukoliko ispunjava kriterijume za kvalitativni izbor privrednog subjekta. Nije dozvoljeno ograničavanje broja kandidata koji će biti primljeni u  siste</w:t>
            </w:r>
            <w:r w:rsidR="002540F9" w:rsidRPr="00DC7523">
              <w:rPr>
                <w:rFonts w:ascii="Segoe UI" w:eastAsia="Times New Roman" w:hAnsi="Segoe UI" w:cs="Segoe UI"/>
                <w:color w:val="212529"/>
                <w:kern w:val="0"/>
                <w:lang w:eastAsia="sr-Latn-RS"/>
                <w14:ligatures w14:val="none"/>
              </w:rPr>
              <w:t>m</w:t>
            </w:r>
            <w:r w:rsidRPr="00DC7523">
              <w:rPr>
                <w:rFonts w:ascii="Segoe UI" w:eastAsia="Times New Roman" w:hAnsi="Segoe UI" w:cs="Segoe UI"/>
                <w:color w:val="212529"/>
                <w:kern w:val="0"/>
                <w:lang w:eastAsia="sr-Latn-RS"/>
                <w14:ligatures w14:val="none"/>
              </w:rPr>
              <w:t xml:space="preserve">. </w:t>
            </w:r>
          </w:p>
        </w:tc>
        <w:tc>
          <w:tcPr>
            <w:tcW w:w="4819" w:type="dxa"/>
          </w:tcPr>
          <w:p w14:paraId="5A8E2C1F" w14:textId="286ECFE7" w:rsidR="0064245E" w:rsidRPr="00DC7523" w:rsidRDefault="002D2100" w:rsidP="00447CE9">
            <w:pPr>
              <w:pStyle w:val="NormalWeb"/>
              <w:jc w:val="both"/>
              <w:rPr>
                <w:rFonts w:ascii="Segoe UI" w:hAnsi="Segoe UI" w:cs="Segoe UI"/>
                <w:b/>
                <w:color w:val="212529"/>
              </w:rPr>
            </w:pPr>
            <w:r w:rsidRPr="00DC7523">
              <w:rPr>
                <w:rStyle w:val="Strong"/>
                <w:rFonts w:ascii="Segoe UI" w:eastAsiaTheme="minorHAnsi" w:hAnsi="Segoe UI" w:cs="Segoe UI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Zatvoren sistem – zaključenom OS ne mogu se priključiti novi </w:t>
            </w:r>
            <w:r w:rsidR="00B64B9C" w:rsidRPr="00DC7523">
              <w:rPr>
                <w:rStyle w:val="Strong"/>
                <w:rFonts w:ascii="Segoe UI" w:eastAsiaTheme="minorHAnsi" w:hAnsi="Segoe UI" w:cs="Segoe UI"/>
                <w:b w:val="0"/>
                <w:kern w:val="2"/>
                <w:sz w:val="22"/>
                <w:szCs w:val="22"/>
                <w:lang w:eastAsia="en-US"/>
                <w14:ligatures w14:val="standardContextual"/>
              </w:rPr>
              <w:t>privredni subjekti. Naručilac može da ograniči broj privrednih subjekata sa kojima će zaključiti OS.</w:t>
            </w:r>
            <w:r w:rsidRPr="00DC7523">
              <w:rPr>
                <w:rFonts w:ascii="Segoe UI" w:hAnsi="Segoe UI" w:cs="Segoe UI"/>
                <w:b/>
              </w:rPr>
              <w:t xml:space="preserve"> </w:t>
            </w:r>
          </w:p>
        </w:tc>
      </w:tr>
      <w:tr w:rsidR="00B64B9C" w:rsidRPr="00DC7523" w14:paraId="46CD5EE5" w14:textId="77777777" w:rsidTr="00B64B9C">
        <w:tc>
          <w:tcPr>
            <w:tcW w:w="988" w:type="dxa"/>
            <w:shd w:val="clear" w:color="auto" w:fill="C4F0C2" w:themeFill="accent3" w:themeFillTint="66"/>
          </w:tcPr>
          <w:p w14:paraId="1FFFF067" w14:textId="5F16D634" w:rsidR="00B64B9C" w:rsidRPr="00DC7523" w:rsidRDefault="00B64B9C" w:rsidP="00B37D0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5.</w:t>
            </w:r>
          </w:p>
        </w:tc>
        <w:tc>
          <w:tcPr>
            <w:tcW w:w="8226" w:type="dxa"/>
            <w:gridSpan w:val="2"/>
            <w:shd w:val="clear" w:color="auto" w:fill="C4F0C2" w:themeFill="accent3" w:themeFillTint="66"/>
          </w:tcPr>
          <w:p w14:paraId="38B65AFD" w14:textId="7E5CAFA5" w:rsidR="00B64B9C" w:rsidRPr="00DC7523" w:rsidRDefault="00B64B9C" w:rsidP="00BF4367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Rokovi</w:t>
            </w:r>
          </w:p>
        </w:tc>
      </w:tr>
      <w:tr w:rsidR="00B64B9C" w:rsidRPr="00DC7523" w14:paraId="5B82FA81" w14:textId="77777777" w:rsidTr="00DA2030">
        <w:trPr>
          <w:trHeight w:val="290"/>
        </w:trPr>
        <w:tc>
          <w:tcPr>
            <w:tcW w:w="4395" w:type="dxa"/>
            <w:gridSpan w:val="2"/>
            <w:shd w:val="clear" w:color="auto" w:fill="C4F0C2" w:themeFill="accent3" w:themeFillTint="66"/>
          </w:tcPr>
          <w:p w14:paraId="4FBE5FDE" w14:textId="77777777" w:rsidR="00B64B9C" w:rsidRPr="00DC7523" w:rsidRDefault="00B64B9C" w:rsidP="00B37D0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SDN</w:t>
            </w:r>
          </w:p>
        </w:tc>
        <w:tc>
          <w:tcPr>
            <w:tcW w:w="4819" w:type="dxa"/>
            <w:shd w:val="clear" w:color="auto" w:fill="C4F0C2" w:themeFill="accent3" w:themeFillTint="66"/>
          </w:tcPr>
          <w:p w14:paraId="557097F8" w14:textId="77777777" w:rsidR="00B64B9C" w:rsidRPr="00DC7523" w:rsidRDefault="00B64B9C" w:rsidP="00B37D01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OS</w:t>
            </w:r>
          </w:p>
        </w:tc>
      </w:tr>
      <w:tr w:rsidR="00B64B9C" w:rsidRPr="00DC7523" w14:paraId="4274109C" w14:textId="77777777" w:rsidTr="00DA2030">
        <w:tc>
          <w:tcPr>
            <w:tcW w:w="4395" w:type="dxa"/>
            <w:gridSpan w:val="2"/>
          </w:tcPr>
          <w:p w14:paraId="4AD118E7" w14:textId="32F5E43C" w:rsidR="00B64B9C" w:rsidRPr="00DC7523" w:rsidRDefault="00B64B9C" w:rsidP="00B37D01">
            <w:pPr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color w:val="212529"/>
                <w:kern w:val="0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color w:val="212529"/>
                <w:kern w:val="0"/>
                <w:lang w:eastAsia="sr-Latn-RS"/>
                <w14:ligatures w14:val="none"/>
              </w:rPr>
              <w:t>Rok za podnošenje ponuda kandidata koji su primljeni u SDN je minimum 10 dana od dana slanja poziva za podnošenje ponuda.</w:t>
            </w:r>
          </w:p>
        </w:tc>
        <w:tc>
          <w:tcPr>
            <w:tcW w:w="4819" w:type="dxa"/>
          </w:tcPr>
          <w:p w14:paraId="0E9698E4" w14:textId="72593F63" w:rsidR="00B64B9C" w:rsidRPr="00DC7523" w:rsidRDefault="00B64B9C" w:rsidP="00EC2341">
            <w:pPr>
              <w:pStyle w:val="NormalWeb"/>
              <w:jc w:val="both"/>
              <w:rPr>
                <w:rFonts w:ascii="Segoe UI" w:hAnsi="Segoe UI" w:cs="Segoe UI"/>
                <w:color w:val="212529"/>
              </w:rPr>
            </w:pPr>
            <w:r w:rsidRPr="00DC7523">
              <w:rPr>
                <w:rFonts w:ascii="Segoe UI" w:hAnsi="Segoe UI" w:cs="Segoe UI"/>
                <w:color w:val="212529"/>
                <w:sz w:val="22"/>
                <w:szCs w:val="22"/>
              </w:rPr>
              <w:t>U slučaju OS sa ponovnim otvaranjem konkurencije ZJN ne propisuje minimalne rokove, već ih naručilac određuje uzimajući u obzir faktore kao što je složenost predmeta nabavke i vreme potrebno za pripremu i sačinjavanje ponude.</w:t>
            </w:r>
            <w:r w:rsidRPr="00DC7523">
              <w:rPr>
                <w:rFonts w:ascii="Segoe UI" w:hAnsi="Segoe UI" w:cs="Segoe UI"/>
              </w:rPr>
              <w:t xml:space="preserve"> </w:t>
            </w:r>
          </w:p>
        </w:tc>
      </w:tr>
    </w:tbl>
    <w:p w14:paraId="11ADA6D0" w14:textId="555C88E9" w:rsidR="00B37D01" w:rsidRDefault="0027792F" w:rsidP="00222EAD">
      <w:pPr>
        <w:pStyle w:val="Heading1"/>
        <w:rPr>
          <w:rFonts w:ascii="Segoe UI Emoji" w:hAnsi="Segoe UI Emoji"/>
          <w:sz w:val="80"/>
          <w:szCs w:val="80"/>
        </w:rPr>
      </w:pPr>
      <w:r w:rsidRPr="00DC7523">
        <w:rPr>
          <w:rFonts w:ascii="Segoe UI" w:hAnsi="Segoe UI" w:cs="Segoe UI"/>
        </w:rPr>
        <w:br w:type="page"/>
      </w:r>
      <w:bookmarkStart w:id="7" w:name="_Toc183435400"/>
      <w:r w:rsidRPr="00222EAD">
        <w:rPr>
          <w:rFonts w:ascii="Segoe UI Emoji" w:hAnsi="Segoe UI Emoji"/>
          <w:sz w:val="80"/>
          <w:szCs w:val="80"/>
        </w:rPr>
        <w:lastRenderedPageBreak/>
        <w:t>Uspostavljanje i vo</w:t>
      </w:r>
      <w:r w:rsidR="00113DA4">
        <w:rPr>
          <w:rFonts w:ascii="Calibri" w:hAnsi="Calibri"/>
          <w:sz w:val="80"/>
          <w:szCs w:val="80"/>
        </w:rPr>
        <w:t>đ</w:t>
      </w:r>
      <w:r w:rsidRPr="00222EAD">
        <w:rPr>
          <w:rFonts w:ascii="Segoe UI Emoji" w:hAnsi="Segoe UI Emoji"/>
          <w:sz w:val="80"/>
          <w:szCs w:val="80"/>
        </w:rPr>
        <w:t>enje SDN-a</w:t>
      </w:r>
      <w:bookmarkEnd w:id="7"/>
    </w:p>
    <w:p w14:paraId="7F739BF5" w14:textId="77777777" w:rsidR="00EB25A1" w:rsidRPr="00EB25A1" w:rsidRDefault="00EB25A1" w:rsidP="00EB25A1"/>
    <w:p w14:paraId="3DCA9F38" w14:textId="27AD389E" w:rsidR="00B37D01" w:rsidRDefault="00B37D01" w:rsidP="00EB25A1">
      <w:pPr>
        <w:pStyle w:val="Heading2"/>
        <w:numPr>
          <w:ilvl w:val="0"/>
          <w:numId w:val="25"/>
        </w:numPr>
        <w:rPr>
          <w:rFonts w:ascii="Segoe UI" w:eastAsiaTheme="minorHAnsi" w:hAnsi="Segoe UI" w:cs="Segoe UI"/>
          <w:b/>
          <w:bCs/>
          <w:color w:val="6EDA69"/>
          <w:sz w:val="40"/>
          <w:szCs w:val="40"/>
        </w:rPr>
      </w:pPr>
      <w:bookmarkStart w:id="8" w:name="_Toc183435401"/>
      <w:r w:rsidRPr="001C75B2">
        <w:rPr>
          <w:rFonts w:ascii="Segoe UI" w:eastAsiaTheme="minorHAnsi" w:hAnsi="Segoe UI" w:cs="Segoe UI"/>
          <w:b/>
          <w:bCs/>
          <w:color w:val="6EDA69"/>
          <w:sz w:val="40"/>
          <w:szCs w:val="40"/>
        </w:rPr>
        <w:t>Osnovna pravila SDN-a</w:t>
      </w:r>
      <w:bookmarkEnd w:id="8"/>
    </w:p>
    <w:p w14:paraId="6A1AF81C" w14:textId="77777777" w:rsidR="00EB25A1" w:rsidRPr="00EB25A1" w:rsidRDefault="00EB25A1" w:rsidP="00EB25A1">
      <w:pPr>
        <w:ind w:left="360"/>
      </w:pPr>
    </w:p>
    <w:p w14:paraId="35B6C56B" w14:textId="6B1D706F" w:rsidR="00B37D01" w:rsidRPr="00DC7523" w:rsidRDefault="00B64B9C" w:rsidP="00B64B9C">
      <w:pPr>
        <w:jc w:val="both"/>
        <w:rPr>
          <w:rFonts w:ascii="Segoe UI" w:hAnsi="Segoe UI" w:cs="Segoe UI"/>
          <w:sz w:val="24"/>
          <w:szCs w:val="24"/>
        </w:rPr>
      </w:pPr>
      <w:r w:rsidRPr="00DC7523">
        <w:rPr>
          <w:rFonts w:ascii="Segoe UI" w:hAnsi="Segoe UI" w:cs="Segoe UI"/>
          <w:sz w:val="24"/>
          <w:szCs w:val="24"/>
        </w:rPr>
        <w:t xml:space="preserve">Naručilac uspostavlja i vodi SDN </w:t>
      </w:r>
      <w:r w:rsidRPr="003505EB">
        <w:rPr>
          <w:rFonts w:ascii="Segoe UI" w:hAnsi="Segoe UI" w:cs="Segoe UI"/>
          <w:b/>
          <w:sz w:val="24"/>
          <w:szCs w:val="24"/>
        </w:rPr>
        <w:t>isključivo elektronskim sredstvima</w:t>
      </w:r>
      <w:r w:rsidR="001816B2">
        <w:rPr>
          <w:rStyle w:val="FootnoteReference"/>
          <w:rFonts w:ascii="Segoe UI" w:hAnsi="Segoe UI" w:cs="Segoe UI"/>
          <w:sz w:val="24"/>
          <w:szCs w:val="24"/>
        </w:rPr>
        <w:footnoteReference w:id="5"/>
      </w:r>
      <w:r w:rsidRPr="00DC7523">
        <w:rPr>
          <w:rFonts w:ascii="Segoe UI" w:hAnsi="Segoe UI" w:cs="Segoe UI"/>
          <w:sz w:val="24"/>
          <w:szCs w:val="24"/>
        </w:rPr>
        <w:t xml:space="preserve">, odnosno putem Portala, primenjući </w:t>
      </w:r>
      <w:r w:rsidRPr="003505EB">
        <w:rPr>
          <w:rFonts w:ascii="Segoe UI" w:hAnsi="Segoe UI" w:cs="Segoe UI"/>
          <w:b/>
          <w:sz w:val="24"/>
          <w:szCs w:val="24"/>
        </w:rPr>
        <w:t>pravila restriktivnog postupka</w:t>
      </w:r>
      <w:r w:rsidR="009E3CA4">
        <w:rPr>
          <w:rFonts w:ascii="Segoe UI" w:hAnsi="Segoe UI" w:cs="Segoe UI"/>
          <w:sz w:val="24"/>
          <w:szCs w:val="24"/>
        </w:rPr>
        <w:t xml:space="preserve">. Navedno </w:t>
      </w:r>
      <w:r w:rsidR="00B37D01" w:rsidRPr="00DC7523">
        <w:rPr>
          <w:rFonts w:ascii="Segoe UI" w:hAnsi="Segoe UI" w:cs="Segoe UI"/>
          <w:sz w:val="24"/>
          <w:szCs w:val="24"/>
        </w:rPr>
        <w:t>podrazumeva dve faze, fazu kvalifikacije zainteresovanih privrednih subjek</w:t>
      </w:r>
      <w:r w:rsidR="00DA2030" w:rsidRPr="00DC7523">
        <w:rPr>
          <w:rFonts w:ascii="Segoe UI" w:hAnsi="Segoe UI" w:cs="Segoe UI"/>
          <w:sz w:val="24"/>
          <w:szCs w:val="24"/>
        </w:rPr>
        <w:t>a</w:t>
      </w:r>
      <w:r w:rsidR="00B37D01" w:rsidRPr="00DC7523">
        <w:rPr>
          <w:rFonts w:ascii="Segoe UI" w:hAnsi="Segoe UI" w:cs="Segoe UI"/>
          <w:sz w:val="24"/>
          <w:szCs w:val="24"/>
        </w:rPr>
        <w:t>ta i fazu dodele pojedinačnih ugovora, pri čemu prva faza, odnosno faza kvalifikacije</w:t>
      </w:r>
      <w:r w:rsidR="00DA2030" w:rsidRPr="00DC7523">
        <w:rPr>
          <w:rFonts w:ascii="Segoe UI" w:hAnsi="Segoe UI" w:cs="Segoe UI"/>
          <w:sz w:val="24"/>
          <w:szCs w:val="24"/>
        </w:rPr>
        <w:t>,</w:t>
      </w:r>
      <w:r w:rsidR="00B37D01" w:rsidRPr="00DC7523">
        <w:rPr>
          <w:rFonts w:ascii="Segoe UI" w:hAnsi="Segoe UI" w:cs="Segoe UI"/>
          <w:sz w:val="24"/>
          <w:szCs w:val="24"/>
        </w:rPr>
        <w:t xml:space="preserve"> suštinski traje sve vreme dok traje SDN, a druga faza se sprovodi svaki put kada naručilac ima konkretnu potrebu za predmetom nabavke za koji je uspostavljen SDN.  </w:t>
      </w:r>
    </w:p>
    <w:p w14:paraId="31CC7ABC" w14:textId="49241892" w:rsidR="00F3403F" w:rsidRPr="00DC7523" w:rsidRDefault="00F3403F" w:rsidP="00B64B9C">
      <w:pPr>
        <w:jc w:val="both"/>
        <w:rPr>
          <w:rFonts w:ascii="Segoe UI" w:hAnsi="Segoe UI" w:cs="Segoe UI"/>
          <w:sz w:val="24"/>
          <w:szCs w:val="24"/>
        </w:rPr>
      </w:pPr>
      <w:r w:rsidRPr="00DC7523">
        <w:rPr>
          <w:rFonts w:ascii="Segoe UI" w:hAnsi="Segoe UI" w:cs="Segoe UI"/>
          <w:sz w:val="24"/>
          <w:szCs w:val="24"/>
        </w:rPr>
        <w:t xml:space="preserve">SDN je namenjen </w:t>
      </w:r>
      <w:r w:rsidRPr="003505EB">
        <w:rPr>
          <w:rFonts w:ascii="Segoe UI" w:hAnsi="Segoe UI" w:cs="Segoe UI"/>
          <w:b/>
          <w:sz w:val="24"/>
          <w:szCs w:val="24"/>
        </w:rPr>
        <w:t xml:space="preserve">isključivo </w:t>
      </w:r>
      <w:r w:rsidR="009E3CA4" w:rsidRPr="003505EB">
        <w:rPr>
          <w:rFonts w:ascii="Segoe UI" w:hAnsi="Segoe UI" w:cs="Segoe UI"/>
          <w:b/>
          <w:sz w:val="24"/>
          <w:szCs w:val="24"/>
        </w:rPr>
        <w:t>za standardizovana dobra, radove ili usluge</w:t>
      </w:r>
      <w:r w:rsidR="009E3CA4" w:rsidRPr="00DC7523">
        <w:rPr>
          <w:rFonts w:ascii="Segoe UI" w:hAnsi="Segoe UI" w:cs="Segoe UI"/>
          <w:sz w:val="24"/>
          <w:szCs w:val="24"/>
        </w:rPr>
        <w:t xml:space="preserve">, koji su široko dostupni na tržištu, </w:t>
      </w:r>
      <w:r w:rsidRPr="00DC7523">
        <w:rPr>
          <w:rFonts w:ascii="Segoe UI" w:hAnsi="Segoe UI" w:cs="Segoe UI"/>
          <w:sz w:val="24"/>
          <w:szCs w:val="24"/>
        </w:rPr>
        <w:t xml:space="preserve">što znači da se ne može koristiti za </w:t>
      </w:r>
      <w:r w:rsidR="00EA0FB4" w:rsidRPr="00DC7523">
        <w:rPr>
          <w:rFonts w:ascii="Segoe UI" w:hAnsi="Segoe UI" w:cs="Segoe UI"/>
          <w:sz w:val="24"/>
          <w:szCs w:val="24"/>
        </w:rPr>
        <w:t xml:space="preserve">predmete </w:t>
      </w:r>
      <w:r w:rsidRPr="00DC7523">
        <w:rPr>
          <w:rFonts w:ascii="Segoe UI" w:hAnsi="Segoe UI" w:cs="Segoe UI"/>
          <w:sz w:val="24"/>
          <w:szCs w:val="24"/>
        </w:rPr>
        <w:t>nabavk</w:t>
      </w:r>
      <w:r w:rsidR="00EA0FB4" w:rsidRPr="00DC7523">
        <w:rPr>
          <w:rFonts w:ascii="Segoe UI" w:hAnsi="Segoe UI" w:cs="Segoe UI"/>
          <w:sz w:val="24"/>
          <w:szCs w:val="24"/>
        </w:rPr>
        <w:t>i</w:t>
      </w:r>
      <w:r w:rsidRPr="00DC7523">
        <w:rPr>
          <w:rFonts w:ascii="Segoe UI" w:hAnsi="Segoe UI" w:cs="Segoe UI"/>
          <w:sz w:val="24"/>
          <w:szCs w:val="24"/>
        </w:rPr>
        <w:t xml:space="preserve"> koje </w:t>
      </w:r>
      <w:r w:rsidR="00EA0FB4" w:rsidRPr="00DC7523">
        <w:rPr>
          <w:rFonts w:ascii="Segoe UI" w:hAnsi="Segoe UI" w:cs="Segoe UI"/>
          <w:sz w:val="24"/>
          <w:szCs w:val="24"/>
        </w:rPr>
        <w:t xml:space="preserve">je potrebno </w:t>
      </w:r>
      <w:r w:rsidRPr="00DC7523">
        <w:rPr>
          <w:rFonts w:ascii="Segoe UI" w:hAnsi="Segoe UI" w:cs="Segoe UI"/>
          <w:sz w:val="24"/>
          <w:szCs w:val="24"/>
        </w:rPr>
        <w:t>posebno prilag</w:t>
      </w:r>
      <w:r w:rsidR="00EA0FB4" w:rsidRPr="00DC7523">
        <w:rPr>
          <w:rFonts w:ascii="Segoe UI" w:hAnsi="Segoe UI" w:cs="Segoe UI"/>
          <w:sz w:val="24"/>
          <w:szCs w:val="24"/>
        </w:rPr>
        <w:t>oditi</w:t>
      </w:r>
      <w:r w:rsidRPr="00DC7523">
        <w:rPr>
          <w:rFonts w:ascii="Segoe UI" w:hAnsi="Segoe UI" w:cs="Segoe UI"/>
          <w:sz w:val="24"/>
          <w:szCs w:val="24"/>
        </w:rPr>
        <w:t xml:space="preserve"> potrebama naručioca</w:t>
      </w:r>
      <w:r w:rsidR="00EA0FB4" w:rsidRPr="00DC7523">
        <w:rPr>
          <w:rFonts w:ascii="Segoe UI" w:hAnsi="Segoe UI" w:cs="Segoe UI"/>
          <w:sz w:val="24"/>
          <w:szCs w:val="24"/>
        </w:rPr>
        <w:t xml:space="preserve"> (npr. izrada specifičnog softverskog rešenja)</w:t>
      </w:r>
      <w:r w:rsidRPr="00DC7523">
        <w:rPr>
          <w:rFonts w:ascii="Segoe UI" w:hAnsi="Segoe UI" w:cs="Segoe UI"/>
          <w:sz w:val="24"/>
          <w:szCs w:val="24"/>
        </w:rPr>
        <w:t xml:space="preserve">. </w:t>
      </w:r>
      <w:r w:rsidR="00C21858">
        <w:rPr>
          <w:rFonts w:ascii="Segoe UI" w:hAnsi="Segoe UI" w:cs="Segoe UI"/>
          <w:sz w:val="24"/>
          <w:szCs w:val="24"/>
        </w:rPr>
        <w:t>Stoga</w:t>
      </w:r>
      <w:r w:rsidRPr="00DC7523">
        <w:rPr>
          <w:rFonts w:ascii="Segoe UI" w:hAnsi="Segoe UI" w:cs="Segoe UI"/>
          <w:sz w:val="24"/>
          <w:szCs w:val="24"/>
        </w:rPr>
        <w:t>, za složenije ili specifične predmete nabavki koji zahtevaju kreativna rešenja ili pregovore</w:t>
      </w:r>
      <w:r w:rsidR="00C21858">
        <w:rPr>
          <w:rFonts w:ascii="Segoe UI" w:hAnsi="Segoe UI" w:cs="Segoe UI"/>
          <w:sz w:val="24"/>
          <w:szCs w:val="24"/>
        </w:rPr>
        <w:t xml:space="preserve"> </w:t>
      </w:r>
      <w:r w:rsidRPr="00DC7523">
        <w:rPr>
          <w:rFonts w:ascii="Segoe UI" w:hAnsi="Segoe UI" w:cs="Segoe UI"/>
          <w:sz w:val="24"/>
          <w:szCs w:val="24"/>
        </w:rPr>
        <w:t xml:space="preserve">SDN nije adekvatan. </w:t>
      </w:r>
    </w:p>
    <w:p w14:paraId="10E94D5E" w14:textId="32EB4520" w:rsidR="00437A97" w:rsidRDefault="001C0D73" w:rsidP="00437A97">
      <w:pPr>
        <w:jc w:val="both"/>
        <w:rPr>
          <w:rFonts w:ascii="Segoe UI" w:hAnsi="Segoe UI" w:cs="Segoe UI"/>
          <w:sz w:val="24"/>
          <w:szCs w:val="24"/>
        </w:rPr>
      </w:pPr>
      <w:r w:rsidRPr="00BB1D7B">
        <w:rPr>
          <w:rFonts w:ascii="Segoe UI" w:hAnsi="Segoe UI" w:cs="Segoe UI"/>
          <w:sz w:val="24"/>
          <w:szCs w:val="24"/>
        </w:rPr>
        <w:t>SDN može biti podeljen u kategorije dobara, usluga ili radova koje su objektivno određene na osnovu karakteristika nabavke koja će se sprovoditi u okviru te kategorije</w:t>
      </w:r>
      <w:r w:rsidRPr="00BB1D7B">
        <w:rPr>
          <w:rFonts w:ascii="Segoe UI" w:hAnsi="Segoe UI" w:cs="Segoe UI"/>
          <w:sz w:val="24"/>
          <w:szCs w:val="24"/>
          <w:lang w:val="sr-Cyrl-RS"/>
        </w:rPr>
        <w:t xml:space="preserve">, kao što je </w:t>
      </w:r>
      <w:r w:rsidRPr="00BB1D7B">
        <w:rPr>
          <w:rFonts w:ascii="Segoe UI" w:hAnsi="Segoe UI" w:cs="Segoe UI"/>
          <w:sz w:val="24"/>
          <w:szCs w:val="24"/>
        </w:rPr>
        <w:t>najveći dozvoljeni obim ugovora koji će se zaključivati tokom trajanja SDN-</w:t>
      </w:r>
      <w:r w:rsidR="00F237B8">
        <w:rPr>
          <w:rFonts w:ascii="Segoe UI" w:hAnsi="Segoe UI" w:cs="Segoe UI"/>
          <w:sz w:val="24"/>
          <w:szCs w:val="24"/>
        </w:rPr>
        <w:t xml:space="preserve">a ili na posebna teritorijalna područja u kojima će se ti ugovori izvršavati. </w:t>
      </w:r>
      <w:r w:rsidR="004E4BCB" w:rsidRPr="004E4BCB">
        <w:rPr>
          <w:rFonts w:ascii="Segoe UI" w:hAnsi="Segoe UI" w:cs="Segoe UI"/>
          <w:sz w:val="24"/>
          <w:szCs w:val="24"/>
        </w:rPr>
        <w:t xml:space="preserve">U slučaju podele SDN-a u kategorije, naručilac ima obavezu da u dokumentaciji o nabavci odredi kriterijume za kvalitativni izbor privrednog subjekta za svaku kategorju. </w:t>
      </w:r>
    </w:p>
    <w:p w14:paraId="633B5683" w14:textId="0A883495" w:rsidR="00C77EA1" w:rsidRPr="00DC7523" w:rsidRDefault="009B445F" w:rsidP="00C77EA1">
      <w:pPr>
        <w:jc w:val="both"/>
        <w:rPr>
          <w:rFonts w:ascii="Segoe UI" w:hAnsi="Segoe UI" w:cs="Segoe UI"/>
          <w:sz w:val="24"/>
          <w:szCs w:val="24"/>
        </w:rPr>
      </w:pPr>
      <w:r w:rsidRPr="00DC7523">
        <w:rPr>
          <w:rFonts w:ascii="Segoe UI" w:hAnsi="Segoe UI" w:cs="Segoe UI"/>
          <w:sz w:val="24"/>
          <w:szCs w:val="24"/>
        </w:rPr>
        <w:t>U prvoj fazi restriktivnog postupka naručilac</w:t>
      </w:r>
      <w:r w:rsidR="00EA0FB4" w:rsidRPr="00DC7523">
        <w:rPr>
          <w:rFonts w:ascii="Segoe UI" w:hAnsi="Segoe UI" w:cs="Segoe UI"/>
          <w:sz w:val="24"/>
          <w:szCs w:val="24"/>
        </w:rPr>
        <w:t xml:space="preserve"> objavljuje javni poziv i </w:t>
      </w:r>
      <w:r w:rsidRPr="00DC7523">
        <w:rPr>
          <w:rFonts w:ascii="Segoe UI" w:hAnsi="Segoe UI" w:cs="Segoe UI"/>
          <w:sz w:val="24"/>
          <w:szCs w:val="24"/>
        </w:rPr>
        <w:t xml:space="preserve">konkursnu dokumentaciju koja je svima </w:t>
      </w:r>
      <w:r w:rsidR="00B37D01" w:rsidRPr="00DC7523">
        <w:rPr>
          <w:rFonts w:ascii="Segoe UI" w:hAnsi="Segoe UI" w:cs="Segoe UI"/>
          <w:sz w:val="24"/>
          <w:szCs w:val="24"/>
        </w:rPr>
        <w:t>dostupna na Portalu</w:t>
      </w:r>
      <w:r w:rsidR="002C541C" w:rsidRPr="00DC7523">
        <w:rPr>
          <w:rFonts w:ascii="Segoe UI" w:hAnsi="Segoe UI" w:cs="Segoe UI"/>
          <w:sz w:val="24"/>
          <w:szCs w:val="24"/>
        </w:rPr>
        <w:t xml:space="preserve"> i </w:t>
      </w:r>
      <w:r w:rsidR="00B37D01" w:rsidRPr="00DC7523">
        <w:rPr>
          <w:rFonts w:ascii="Segoe UI" w:hAnsi="Segoe UI" w:cs="Segoe UI"/>
          <w:sz w:val="24"/>
          <w:szCs w:val="24"/>
        </w:rPr>
        <w:t xml:space="preserve">odnosi </w:t>
      </w:r>
      <w:r w:rsidR="002C541C" w:rsidRPr="00DC7523">
        <w:rPr>
          <w:rFonts w:ascii="Segoe UI" w:hAnsi="Segoe UI" w:cs="Segoe UI"/>
          <w:sz w:val="24"/>
          <w:szCs w:val="24"/>
        </w:rPr>
        <w:t xml:space="preserve">se </w:t>
      </w:r>
      <w:r w:rsidR="00B37D01" w:rsidRPr="00DC7523">
        <w:rPr>
          <w:rFonts w:ascii="Segoe UI" w:hAnsi="Segoe UI" w:cs="Segoe UI"/>
          <w:sz w:val="24"/>
          <w:szCs w:val="24"/>
        </w:rPr>
        <w:t>na podnošenje prijava. To znači da svaki zainteresovani privredni subjekt</w:t>
      </w:r>
      <w:r w:rsidR="00DA2030" w:rsidRPr="00DC7523">
        <w:rPr>
          <w:rFonts w:ascii="Segoe UI" w:hAnsi="Segoe UI" w:cs="Segoe UI"/>
          <w:sz w:val="24"/>
          <w:szCs w:val="24"/>
        </w:rPr>
        <w:t>,</w:t>
      </w:r>
      <w:r w:rsidR="00B37D01" w:rsidRPr="00DC7523">
        <w:rPr>
          <w:rFonts w:ascii="Segoe UI" w:hAnsi="Segoe UI" w:cs="Segoe UI"/>
          <w:sz w:val="24"/>
          <w:szCs w:val="24"/>
        </w:rPr>
        <w:t xml:space="preserve"> koji ispunjava kriterijume za kvalitativni izbor privrednog subjekta </w:t>
      </w:r>
      <w:r w:rsidR="00F66BCA" w:rsidRPr="00DC7523">
        <w:rPr>
          <w:rFonts w:ascii="Segoe UI" w:hAnsi="Segoe UI" w:cs="Segoe UI"/>
          <w:sz w:val="24"/>
          <w:szCs w:val="24"/>
        </w:rPr>
        <w:t xml:space="preserve">koje </w:t>
      </w:r>
      <w:r w:rsidR="00F237B8">
        <w:rPr>
          <w:rFonts w:ascii="Segoe UI" w:hAnsi="Segoe UI" w:cs="Segoe UI"/>
          <w:sz w:val="24"/>
          <w:szCs w:val="24"/>
        </w:rPr>
        <w:t xml:space="preserve">je </w:t>
      </w:r>
      <w:r w:rsidR="00F66BCA" w:rsidRPr="00DC7523">
        <w:rPr>
          <w:rFonts w:ascii="Segoe UI" w:hAnsi="Segoe UI" w:cs="Segoe UI"/>
          <w:sz w:val="24"/>
          <w:szCs w:val="24"/>
        </w:rPr>
        <w:t>naručilac odredi</w:t>
      </w:r>
      <w:r w:rsidR="00F237B8">
        <w:rPr>
          <w:rFonts w:ascii="Segoe UI" w:hAnsi="Segoe UI" w:cs="Segoe UI"/>
          <w:sz w:val="24"/>
          <w:szCs w:val="24"/>
        </w:rPr>
        <w:t>o</w:t>
      </w:r>
      <w:r w:rsidR="00DA2030" w:rsidRPr="00DC7523">
        <w:rPr>
          <w:rFonts w:ascii="Segoe UI" w:hAnsi="Segoe UI" w:cs="Segoe UI"/>
          <w:sz w:val="24"/>
          <w:szCs w:val="24"/>
        </w:rPr>
        <w:t>,</w:t>
      </w:r>
      <w:r w:rsidR="00F66BCA" w:rsidRPr="00DC7523">
        <w:rPr>
          <w:rFonts w:ascii="Segoe UI" w:hAnsi="Segoe UI" w:cs="Segoe UI"/>
          <w:sz w:val="24"/>
          <w:szCs w:val="24"/>
        </w:rPr>
        <w:t xml:space="preserve"> </w:t>
      </w:r>
      <w:r w:rsidR="00B37D01" w:rsidRPr="00DC7523">
        <w:rPr>
          <w:rFonts w:ascii="Segoe UI" w:hAnsi="Segoe UI" w:cs="Segoe UI"/>
          <w:sz w:val="24"/>
          <w:szCs w:val="24"/>
        </w:rPr>
        <w:t xml:space="preserve">može da podnese </w:t>
      </w:r>
      <w:r w:rsidR="00B37D01" w:rsidRPr="00DC7523">
        <w:rPr>
          <w:rFonts w:ascii="Segoe UI" w:hAnsi="Segoe UI" w:cs="Segoe UI"/>
          <w:sz w:val="24"/>
          <w:szCs w:val="24"/>
        </w:rPr>
        <w:lastRenderedPageBreak/>
        <w:t>prijavu.</w:t>
      </w:r>
      <w:r w:rsidR="004378F3" w:rsidRPr="00DC7523">
        <w:rPr>
          <w:rFonts w:ascii="Segoe UI" w:hAnsi="Segoe UI" w:cs="Segoe UI"/>
          <w:sz w:val="24"/>
          <w:szCs w:val="24"/>
        </w:rPr>
        <w:t xml:space="preserve"> </w:t>
      </w:r>
      <w:r w:rsidR="004378F3" w:rsidRPr="00BB1D7B">
        <w:rPr>
          <w:rFonts w:ascii="Segoe UI" w:hAnsi="Segoe UI" w:cs="Segoe UI"/>
          <w:sz w:val="24"/>
          <w:szCs w:val="24"/>
        </w:rPr>
        <w:t>Iako u restriktivnom postupku postoji mogučnost ograničenja broja kandidata</w:t>
      </w:r>
      <w:r w:rsidR="004378F3" w:rsidRPr="00BB1D7B">
        <w:rPr>
          <w:rStyle w:val="FootnoteReference"/>
          <w:rFonts w:ascii="Segoe UI" w:hAnsi="Segoe UI" w:cs="Segoe UI"/>
          <w:sz w:val="24"/>
          <w:szCs w:val="24"/>
        </w:rPr>
        <w:footnoteReference w:id="6"/>
      </w:r>
      <w:r w:rsidR="004378F3" w:rsidRPr="00BB1D7B">
        <w:rPr>
          <w:rFonts w:ascii="Segoe UI" w:hAnsi="Segoe UI" w:cs="Segoe UI"/>
          <w:sz w:val="24"/>
          <w:szCs w:val="24"/>
        </w:rPr>
        <w:t>, ta mogućnost nije dozvoljena kod SDN-a.</w:t>
      </w:r>
      <w:r w:rsidR="004378F3" w:rsidRPr="00DC7523">
        <w:rPr>
          <w:rFonts w:ascii="Segoe UI" w:hAnsi="Segoe UI" w:cs="Segoe UI"/>
          <w:sz w:val="24"/>
          <w:szCs w:val="24"/>
        </w:rPr>
        <w:t xml:space="preserve"> </w:t>
      </w:r>
    </w:p>
    <w:p w14:paraId="36C54592" w14:textId="636F3C1F" w:rsidR="00F66BCA" w:rsidRPr="00DC7523" w:rsidRDefault="00B37D01" w:rsidP="00B37D01">
      <w:pPr>
        <w:jc w:val="both"/>
        <w:rPr>
          <w:rFonts w:ascii="Segoe UI" w:hAnsi="Segoe UI" w:cs="Segoe UI"/>
          <w:sz w:val="24"/>
          <w:szCs w:val="24"/>
        </w:rPr>
      </w:pPr>
      <w:r w:rsidRPr="00DC7523">
        <w:rPr>
          <w:rFonts w:ascii="Segoe UI" w:hAnsi="Segoe UI" w:cs="Segoe UI"/>
          <w:sz w:val="24"/>
          <w:szCs w:val="24"/>
        </w:rPr>
        <w:t>Minimalni rok za podnošenje prijava je 30 ili 20 dana od slanja na objavlјivanje javnog poziva</w:t>
      </w:r>
      <w:r w:rsidR="00F66BCA" w:rsidRPr="00DC7523">
        <w:rPr>
          <w:rFonts w:ascii="Segoe UI" w:hAnsi="Segoe UI" w:cs="Segoe UI"/>
          <w:sz w:val="24"/>
          <w:szCs w:val="24"/>
        </w:rPr>
        <w:t xml:space="preserve"> (ili od dana slanja poziva za podnošenje prijava kada je periodično indikativno obaveštenje korišćeno kao javni poziv</w:t>
      </w:r>
      <w:r w:rsidR="003505EB">
        <w:rPr>
          <w:rStyle w:val="FootnoteReference"/>
          <w:rFonts w:ascii="Segoe UI" w:hAnsi="Segoe UI" w:cs="Segoe UI"/>
          <w:sz w:val="24"/>
          <w:szCs w:val="24"/>
        </w:rPr>
        <w:footnoteReference w:id="7"/>
      </w:r>
      <w:r w:rsidR="004378F3" w:rsidRPr="00DC7523">
        <w:rPr>
          <w:rFonts w:ascii="Segoe UI" w:hAnsi="Segoe UI" w:cs="Segoe UI"/>
          <w:sz w:val="24"/>
          <w:szCs w:val="24"/>
        </w:rPr>
        <w:t>)</w:t>
      </w:r>
      <w:r w:rsidRPr="00DC7523">
        <w:rPr>
          <w:rFonts w:ascii="Segoe UI" w:hAnsi="Segoe UI" w:cs="Segoe UI"/>
          <w:sz w:val="24"/>
          <w:szCs w:val="24"/>
        </w:rPr>
        <w:t>, u zavisnosti da li je procenjena vrednost javne nabavke jednaka ili veća od iznosa evropskih pragova ili je manja od tog iznosa</w:t>
      </w:r>
      <w:r w:rsidR="00F66BCA" w:rsidRPr="00DC7523">
        <w:rPr>
          <w:rStyle w:val="FootnoteReference"/>
          <w:rFonts w:ascii="Segoe UI" w:hAnsi="Segoe UI" w:cs="Segoe UI"/>
          <w:sz w:val="24"/>
          <w:szCs w:val="24"/>
        </w:rPr>
        <w:footnoteReference w:id="8"/>
      </w:r>
      <w:r w:rsidRPr="00DC7523">
        <w:rPr>
          <w:rFonts w:ascii="Segoe UI" w:hAnsi="Segoe UI" w:cs="Segoe UI"/>
          <w:sz w:val="24"/>
          <w:szCs w:val="24"/>
        </w:rPr>
        <w:t xml:space="preserve">. </w:t>
      </w:r>
      <w:r w:rsidR="00F66BCA" w:rsidRPr="00DC7523">
        <w:rPr>
          <w:rFonts w:ascii="Segoe UI" w:hAnsi="Segoe UI" w:cs="Segoe UI"/>
          <w:sz w:val="24"/>
          <w:szCs w:val="24"/>
        </w:rPr>
        <w:t>Ovo je početni rok za podnošenje prijava, a tokom čitavog perioda trajanja SDN-a ovaj poziv ostaje otvoren i svaki zainteresovani privredni subjekt može u bilo kom trenutku da podnese prijavu</w:t>
      </w:r>
      <w:r w:rsidR="00095948">
        <w:rPr>
          <w:rFonts w:ascii="Segoe UI" w:hAnsi="Segoe UI" w:cs="Segoe UI"/>
          <w:sz w:val="24"/>
          <w:szCs w:val="24"/>
        </w:rPr>
        <w:t>, što omogućava</w:t>
      </w:r>
      <w:r w:rsidR="00095948" w:rsidRPr="00C77EA1">
        <w:rPr>
          <w:rFonts w:ascii="Segoe UI" w:hAnsi="Segoe UI" w:cs="Segoe UI"/>
          <w:sz w:val="24"/>
          <w:szCs w:val="24"/>
        </w:rPr>
        <w:t xml:space="preserve"> </w:t>
      </w:r>
      <w:r w:rsidR="00095948">
        <w:rPr>
          <w:rFonts w:ascii="Segoe UI" w:hAnsi="Segoe UI" w:cs="Segoe UI"/>
          <w:sz w:val="24"/>
          <w:szCs w:val="24"/>
        </w:rPr>
        <w:t>kontinurano povećavanje</w:t>
      </w:r>
      <w:r w:rsidR="00095948" w:rsidRPr="00C77EA1">
        <w:rPr>
          <w:rFonts w:ascii="Segoe UI" w:hAnsi="Segoe UI" w:cs="Segoe UI"/>
          <w:sz w:val="24"/>
          <w:szCs w:val="24"/>
        </w:rPr>
        <w:t xml:space="preserve"> </w:t>
      </w:r>
      <w:r w:rsidR="00095948">
        <w:rPr>
          <w:rFonts w:ascii="Segoe UI" w:hAnsi="Segoe UI" w:cs="Segoe UI"/>
          <w:sz w:val="24"/>
          <w:szCs w:val="24"/>
        </w:rPr>
        <w:t>potencijalnog</w:t>
      </w:r>
      <w:r w:rsidR="00095948" w:rsidRPr="00C77EA1">
        <w:rPr>
          <w:rFonts w:ascii="Segoe UI" w:hAnsi="Segoe UI" w:cs="Segoe UI"/>
          <w:sz w:val="24"/>
          <w:szCs w:val="24"/>
        </w:rPr>
        <w:t xml:space="preserve"> </w:t>
      </w:r>
      <w:r w:rsidR="00095948">
        <w:rPr>
          <w:rFonts w:ascii="Segoe UI" w:hAnsi="Segoe UI" w:cs="Segoe UI"/>
          <w:sz w:val="24"/>
          <w:szCs w:val="24"/>
        </w:rPr>
        <w:t>broja</w:t>
      </w:r>
      <w:r w:rsidR="00095948" w:rsidRPr="00C77EA1">
        <w:rPr>
          <w:rFonts w:ascii="Segoe UI" w:hAnsi="Segoe UI" w:cs="Segoe UI"/>
          <w:sz w:val="24"/>
          <w:szCs w:val="24"/>
        </w:rPr>
        <w:t xml:space="preserve"> </w:t>
      </w:r>
      <w:r w:rsidR="00095948">
        <w:rPr>
          <w:rFonts w:ascii="Segoe UI" w:hAnsi="Segoe UI" w:cs="Segoe UI"/>
          <w:sz w:val="24"/>
          <w:szCs w:val="24"/>
        </w:rPr>
        <w:t>ponuđača</w:t>
      </w:r>
      <w:r w:rsidR="00095948" w:rsidRPr="00C77EA1">
        <w:rPr>
          <w:rFonts w:ascii="Segoe UI" w:hAnsi="Segoe UI" w:cs="Segoe UI"/>
          <w:sz w:val="24"/>
          <w:szCs w:val="24"/>
        </w:rPr>
        <w:t xml:space="preserve">. </w:t>
      </w:r>
      <w:r w:rsidR="001816B2">
        <w:rPr>
          <w:rFonts w:ascii="Segoe UI" w:hAnsi="Segoe UI" w:cs="Segoe UI"/>
          <w:sz w:val="24"/>
          <w:szCs w:val="24"/>
        </w:rPr>
        <w:t xml:space="preserve"> </w:t>
      </w:r>
    </w:p>
    <w:p w14:paraId="726B20CB" w14:textId="0AB10E70" w:rsidR="00B37D01" w:rsidRPr="00DC7523" w:rsidRDefault="00B37D01" w:rsidP="00B37D01">
      <w:pPr>
        <w:jc w:val="both"/>
        <w:rPr>
          <w:rFonts w:ascii="Segoe UI" w:hAnsi="Segoe UI" w:cs="Segoe UI"/>
          <w:sz w:val="24"/>
          <w:szCs w:val="24"/>
        </w:rPr>
      </w:pPr>
      <w:r w:rsidRPr="00DC7523">
        <w:rPr>
          <w:rFonts w:ascii="Segoe UI" w:hAnsi="Segoe UI" w:cs="Segoe UI"/>
          <w:sz w:val="24"/>
          <w:szCs w:val="24"/>
        </w:rPr>
        <w:t>Druga faza</w:t>
      </w:r>
      <w:r w:rsidR="002C541C" w:rsidRPr="00DC7523">
        <w:rPr>
          <w:rFonts w:ascii="Segoe UI" w:hAnsi="Segoe UI" w:cs="Segoe UI"/>
          <w:sz w:val="24"/>
          <w:szCs w:val="24"/>
        </w:rPr>
        <w:t xml:space="preserve"> odnosi se na podnošenje ponuda i dostupna je </w:t>
      </w:r>
      <w:r w:rsidRPr="00DC7523">
        <w:rPr>
          <w:rFonts w:ascii="Segoe UI" w:hAnsi="Segoe UI" w:cs="Segoe UI"/>
          <w:sz w:val="24"/>
          <w:szCs w:val="24"/>
        </w:rPr>
        <w:t xml:space="preserve">na Portalu samo kandidatima, odnosno privrednim subjektima koji su </w:t>
      </w:r>
      <w:r w:rsidR="002C541C" w:rsidRPr="00DC7523">
        <w:rPr>
          <w:rFonts w:ascii="Segoe UI" w:hAnsi="Segoe UI" w:cs="Segoe UI"/>
          <w:sz w:val="24"/>
          <w:szCs w:val="24"/>
        </w:rPr>
        <w:t xml:space="preserve">kvalifikovani, </w:t>
      </w:r>
      <w:r w:rsidR="00DA2030" w:rsidRPr="00DC7523">
        <w:rPr>
          <w:rFonts w:ascii="Segoe UI" w:hAnsi="Segoe UI" w:cs="Segoe UI"/>
          <w:sz w:val="24"/>
          <w:szCs w:val="24"/>
        </w:rPr>
        <w:t>tj.</w:t>
      </w:r>
      <w:r w:rsidR="002C541C" w:rsidRPr="00DC7523">
        <w:rPr>
          <w:rFonts w:ascii="Segoe UI" w:hAnsi="Segoe UI" w:cs="Segoe UI"/>
          <w:sz w:val="24"/>
          <w:szCs w:val="24"/>
        </w:rPr>
        <w:t xml:space="preserve"> koji su primljeni u SDN. </w:t>
      </w:r>
      <w:r w:rsidR="004378F3" w:rsidRPr="00DC7523">
        <w:rPr>
          <w:rFonts w:ascii="Segoe UI" w:hAnsi="Segoe UI" w:cs="Segoe UI"/>
          <w:sz w:val="24"/>
          <w:szCs w:val="24"/>
        </w:rPr>
        <w:t xml:space="preserve"> </w:t>
      </w:r>
      <w:r w:rsidR="002C541C" w:rsidRPr="00DC7523">
        <w:rPr>
          <w:rFonts w:ascii="Segoe UI" w:hAnsi="Segoe UI" w:cs="Segoe UI"/>
          <w:sz w:val="24"/>
          <w:szCs w:val="24"/>
        </w:rPr>
        <w:t>Minimalni rok za podnošenje ponuda je 10 dana od dana slanja poziva</w:t>
      </w:r>
      <w:r w:rsidRPr="00DC7523">
        <w:rPr>
          <w:rFonts w:ascii="Segoe UI" w:hAnsi="Segoe UI" w:cs="Segoe UI"/>
          <w:sz w:val="24"/>
          <w:szCs w:val="24"/>
        </w:rPr>
        <w:t xml:space="preserve"> za podnošenje ponude</w:t>
      </w:r>
      <w:r w:rsidR="002C541C" w:rsidRPr="00DC7523">
        <w:rPr>
          <w:rFonts w:ascii="Segoe UI" w:hAnsi="Segoe UI" w:cs="Segoe UI"/>
          <w:sz w:val="24"/>
          <w:szCs w:val="24"/>
        </w:rPr>
        <w:t xml:space="preserve">. Nakon </w:t>
      </w:r>
      <w:r w:rsidRPr="00DC7523">
        <w:rPr>
          <w:rFonts w:ascii="Segoe UI" w:hAnsi="Segoe UI" w:cs="Segoe UI"/>
          <w:sz w:val="24"/>
          <w:szCs w:val="24"/>
        </w:rPr>
        <w:t xml:space="preserve">donošenja odluke o dodeli ugovora u drugoj fazi, naručilac </w:t>
      </w:r>
      <w:r w:rsidR="004378F3" w:rsidRPr="00DC7523">
        <w:rPr>
          <w:rFonts w:ascii="Segoe UI" w:hAnsi="Segoe UI" w:cs="Segoe UI"/>
          <w:sz w:val="24"/>
          <w:szCs w:val="24"/>
        </w:rPr>
        <w:t>zaključuje</w:t>
      </w:r>
      <w:r w:rsidRPr="00DC7523">
        <w:rPr>
          <w:rFonts w:ascii="Segoe UI" w:hAnsi="Segoe UI" w:cs="Segoe UI"/>
          <w:sz w:val="24"/>
          <w:szCs w:val="24"/>
        </w:rPr>
        <w:t xml:space="preserve"> ugovor o javnoj nabavci</w:t>
      </w:r>
      <w:r w:rsidR="002C541C" w:rsidRPr="00DC7523">
        <w:rPr>
          <w:rFonts w:ascii="Segoe UI" w:hAnsi="Segoe UI" w:cs="Segoe UI"/>
          <w:sz w:val="24"/>
          <w:szCs w:val="24"/>
        </w:rPr>
        <w:t>, pri čemu ima mogućnost da ugovor zaključi i</w:t>
      </w:r>
      <w:r w:rsidRPr="00DC7523">
        <w:rPr>
          <w:rFonts w:ascii="Segoe UI" w:hAnsi="Segoe UI" w:cs="Segoe UI"/>
          <w:sz w:val="24"/>
          <w:szCs w:val="24"/>
        </w:rPr>
        <w:t xml:space="preserve"> pre isteka roka za podnošenje zahteva za zaštitu prava</w:t>
      </w:r>
      <w:r w:rsidR="004378F3" w:rsidRPr="00DC7523">
        <w:rPr>
          <w:rStyle w:val="FootnoteReference"/>
          <w:rFonts w:ascii="Segoe UI" w:hAnsi="Segoe UI" w:cs="Segoe UI"/>
          <w:sz w:val="24"/>
          <w:szCs w:val="24"/>
        </w:rPr>
        <w:footnoteReference w:id="9"/>
      </w:r>
      <w:r w:rsidR="004378F3" w:rsidRPr="00DC7523">
        <w:rPr>
          <w:rFonts w:ascii="Segoe UI" w:hAnsi="Segoe UI" w:cs="Segoe UI"/>
          <w:sz w:val="24"/>
          <w:szCs w:val="24"/>
        </w:rPr>
        <w:t>.</w:t>
      </w:r>
    </w:p>
    <w:p w14:paraId="7C8CA48E" w14:textId="23BA3A2F" w:rsidR="00A73CAA" w:rsidRDefault="00A73CAA" w:rsidP="0059565B">
      <w:pPr>
        <w:jc w:val="both"/>
        <w:rPr>
          <w:rFonts w:ascii="Segoe UI" w:hAnsi="Segoe UI" w:cs="Segoe UI"/>
          <w:sz w:val="24"/>
          <w:szCs w:val="24"/>
        </w:rPr>
      </w:pPr>
      <w:r w:rsidRPr="00551F44">
        <w:rPr>
          <w:rFonts w:ascii="Segoe UI" w:hAnsi="Segoe UI" w:cs="Segoe UI"/>
          <w:sz w:val="24"/>
          <w:szCs w:val="24"/>
        </w:rPr>
        <w:t>SDN traje onoliko koliko naručilac odredi u javnom pozivu da će trajati,</w:t>
      </w:r>
      <w:r w:rsidR="00DA2030" w:rsidRPr="00551F44">
        <w:rPr>
          <w:rFonts w:ascii="Segoe UI" w:hAnsi="Segoe UI" w:cs="Segoe UI"/>
          <w:sz w:val="24"/>
          <w:szCs w:val="24"/>
        </w:rPr>
        <w:t xml:space="preserve"> </w:t>
      </w:r>
      <w:r w:rsidRPr="00551F44">
        <w:rPr>
          <w:rFonts w:ascii="Segoe UI" w:hAnsi="Segoe UI" w:cs="Segoe UI"/>
          <w:sz w:val="24"/>
          <w:szCs w:val="24"/>
        </w:rPr>
        <w:t xml:space="preserve">međutim može </w:t>
      </w:r>
      <w:r w:rsidR="00DA2030" w:rsidRPr="00551F44">
        <w:rPr>
          <w:rFonts w:ascii="Segoe UI" w:hAnsi="Segoe UI" w:cs="Segoe UI"/>
          <w:sz w:val="24"/>
          <w:szCs w:val="24"/>
        </w:rPr>
        <w:t xml:space="preserve">sistem </w:t>
      </w:r>
      <w:r w:rsidRPr="00551F44">
        <w:rPr>
          <w:rFonts w:ascii="Segoe UI" w:hAnsi="Segoe UI" w:cs="Segoe UI"/>
          <w:sz w:val="24"/>
          <w:szCs w:val="24"/>
        </w:rPr>
        <w:t xml:space="preserve">okončati i pre isteka tog roka, ali može i produžiti njgovo trajanje. </w:t>
      </w:r>
      <w:r w:rsidR="006C4FEE" w:rsidRPr="00551F44">
        <w:rPr>
          <w:rFonts w:ascii="Segoe UI" w:hAnsi="Segoe UI" w:cs="Segoe UI"/>
          <w:sz w:val="24"/>
          <w:szCs w:val="24"/>
        </w:rPr>
        <w:t>U slučaju da naručilac želi da produži trajanje SDN-a, tu informaciju objavljuje u javnom pozivu tako što na Portalu u delu ,,Procesi postupka“ bira opciju ,,Ispravka postupka“, zatim ,,Izmena podataka iz osnovnog oglasa“ i dalje u skladu sa funkcionalnostima Portala unosi odgovarajuće podatke, a izmenjeni period trajanja SDN</w:t>
      </w:r>
      <w:r w:rsidR="006C4FEE">
        <w:rPr>
          <w:rFonts w:ascii="Segoe UI" w:hAnsi="Segoe UI" w:cs="Segoe UI"/>
          <w:sz w:val="24"/>
          <w:szCs w:val="24"/>
        </w:rPr>
        <w:t>-a</w:t>
      </w:r>
      <w:r w:rsidR="006C4FEE" w:rsidRPr="00551F44">
        <w:rPr>
          <w:rFonts w:ascii="Segoe UI" w:hAnsi="Segoe UI" w:cs="Segoe UI"/>
          <w:sz w:val="24"/>
          <w:szCs w:val="24"/>
        </w:rPr>
        <w:t xml:space="preserve"> se objavlјuje kroz oglas „Ispravka – obaveštenje o izmenama ili dodatnim informacijama“.</w:t>
      </w:r>
      <w:r w:rsidR="006C4FEE">
        <w:rPr>
          <w:rFonts w:ascii="Segoe UI" w:hAnsi="Segoe UI" w:cs="Segoe UI"/>
          <w:sz w:val="24"/>
          <w:szCs w:val="24"/>
        </w:rPr>
        <w:t xml:space="preserve"> </w:t>
      </w:r>
      <w:r w:rsidRPr="00551F44">
        <w:rPr>
          <w:rFonts w:ascii="Segoe UI" w:hAnsi="Segoe UI" w:cs="Segoe UI"/>
          <w:sz w:val="24"/>
          <w:szCs w:val="24"/>
        </w:rPr>
        <w:t xml:space="preserve">Postupak okončava na način što na Portalu u okviru dela ,,Procesi postupka“ bira opciju ,,Okončanje sistema“ i ta informacija se objavlјuje kroz oglas </w:t>
      </w:r>
      <w:r w:rsidR="00DA2030" w:rsidRPr="00551F44">
        <w:rPr>
          <w:rFonts w:ascii="Segoe UI" w:hAnsi="Segoe UI" w:cs="Segoe UI"/>
          <w:sz w:val="24"/>
          <w:szCs w:val="24"/>
        </w:rPr>
        <w:t>„</w:t>
      </w:r>
      <w:r w:rsidRPr="00551F44">
        <w:rPr>
          <w:rFonts w:ascii="Segoe UI" w:hAnsi="Segoe UI" w:cs="Segoe UI"/>
          <w:sz w:val="24"/>
          <w:szCs w:val="24"/>
        </w:rPr>
        <w:t>Obaveštenje o dodeli ugovora, obustavi postupka ili poništenju postupka</w:t>
      </w:r>
      <w:r w:rsidR="00DA2030" w:rsidRPr="00551F44">
        <w:rPr>
          <w:rFonts w:ascii="Segoe UI" w:hAnsi="Segoe UI" w:cs="Segoe UI"/>
          <w:sz w:val="24"/>
          <w:szCs w:val="24"/>
        </w:rPr>
        <w:t>“</w:t>
      </w:r>
      <w:r w:rsidRPr="00551F44">
        <w:rPr>
          <w:rFonts w:ascii="Segoe UI" w:hAnsi="Segoe UI" w:cs="Segoe UI"/>
          <w:sz w:val="24"/>
          <w:szCs w:val="24"/>
        </w:rPr>
        <w:t xml:space="preserve">. </w:t>
      </w:r>
    </w:p>
    <w:p w14:paraId="3247E11A" w14:textId="557EDEAC" w:rsidR="0059565B" w:rsidRPr="00437A97" w:rsidRDefault="0059565B" w:rsidP="0059565B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U okviru SDN-a može da s</w:t>
      </w:r>
      <w:r w:rsidR="00C85791">
        <w:rPr>
          <w:rFonts w:ascii="Segoe UI" w:hAnsi="Segoe UI" w:cs="Segoe UI"/>
          <w:sz w:val="24"/>
          <w:szCs w:val="24"/>
          <w:lang w:val="sr-Cyrl-RS"/>
        </w:rPr>
        <w:t xml:space="preserve">е </w:t>
      </w:r>
      <w:r>
        <w:rPr>
          <w:rFonts w:ascii="Segoe UI" w:hAnsi="Segoe UI" w:cs="Segoe UI"/>
          <w:sz w:val="24"/>
          <w:szCs w:val="24"/>
        </w:rPr>
        <w:t>primeni i e</w:t>
      </w:r>
      <w:r w:rsidRPr="00437A97">
        <w:rPr>
          <w:rFonts w:ascii="Segoe UI" w:hAnsi="Segoe UI" w:cs="Segoe UI"/>
          <w:sz w:val="24"/>
          <w:szCs w:val="24"/>
        </w:rPr>
        <w:t>lektronska licitacija u fazi dodele pojedinačnih ugovora. Naime, naručilac ima mogućnost da odredi da dodeli ugovora prethodi elektronska licitacija, ako se sadržaj dokumentacije o nabavci, a posebno tehničke specifikacije predmeta nabavke mogu precizno utvrditi</w:t>
      </w:r>
      <w:r>
        <w:rPr>
          <w:rStyle w:val="FootnoteReference"/>
          <w:rFonts w:ascii="Segoe UI" w:hAnsi="Segoe UI" w:cs="Segoe UI"/>
          <w:sz w:val="24"/>
          <w:szCs w:val="24"/>
        </w:rPr>
        <w:footnoteReference w:id="10"/>
      </w:r>
      <w:r>
        <w:rPr>
          <w:rFonts w:ascii="Segoe UI" w:hAnsi="Segoe UI" w:cs="Segoe UI"/>
          <w:sz w:val="24"/>
          <w:szCs w:val="24"/>
        </w:rPr>
        <w:t xml:space="preserve">. </w:t>
      </w:r>
    </w:p>
    <w:p w14:paraId="3D12AB13" w14:textId="63CD4452" w:rsidR="00437A97" w:rsidRDefault="0059565B" w:rsidP="0059565B">
      <w:pPr>
        <w:jc w:val="both"/>
        <w:rPr>
          <w:rFonts w:ascii="Segoe UI" w:hAnsi="Segoe UI" w:cs="Segoe UI"/>
          <w:sz w:val="24"/>
          <w:szCs w:val="24"/>
        </w:rPr>
      </w:pPr>
      <w:r w:rsidRPr="00437A97">
        <w:rPr>
          <w:rFonts w:ascii="Segoe UI" w:hAnsi="Segoe UI" w:cs="Segoe UI"/>
          <w:sz w:val="24"/>
          <w:szCs w:val="24"/>
        </w:rPr>
        <w:t>Pored toga, naručilac ima mogućnost da</w:t>
      </w:r>
      <w:r>
        <w:rPr>
          <w:rFonts w:ascii="Segoe UI" w:hAnsi="Segoe UI" w:cs="Segoe UI"/>
          <w:sz w:val="24"/>
          <w:szCs w:val="24"/>
        </w:rPr>
        <w:t xml:space="preserve"> u okviru SDN-a zahteva da se ponude za pojedinačne ugovore podnesu u formi elektronskog kataloga</w:t>
      </w:r>
      <w:r>
        <w:rPr>
          <w:rStyle w:val="FootnoteReference"/>
          <w:rFonts w:ascii="Segoe UI" w:hAnsi="Segoe UI" w:cs="Segoe UI"/>
          <w:sz w:val="24"/>
          <w:szCs w:val="24"/>
        </w:rPr>
        <w:footnoteReference w:id="11"/>
      </w:r>
      <w:r w:rsidRPr="00437A97">
        <w:rPr>
          <w:rFonts w:ascii="Segoe UI" w:hAnsi="Segoe UI" w:cs="Segoe UI"/>
          <w:sz w:val="24"/>
          <w:szCs w:val="24"/>
        </w:rPr>
        <w:t>.</w:t>
      </w:r>
    </w:p>
    <w:p w14:paraId="54C2F154" w14:textId="388F60F3" w:rsidR="00F87183" w:rsidRDefault="00F87183" w:rsidP="0059565B">
      <w:pPr>
        <w:jc w:val="both"/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lastRenderedPageBreak/>
        <w:t xml:space="preserve">Pravila postupanja u slučaju primene elektronske licitacije i elektronskih kataloga uređena su posebnim odredbama </w:t>
      </w:r>
      <w:r w:rsidR="003505EB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ZJN-a </w:t>
      </w:r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i funkcionalnostima Portala. </w:t>
      </w:r>
    </w:p>
    <w:p w14:paraId="1D4E793B" w14:textId="668D7EB5" w:rsidR="00EB25A1" w:rsidRDefault="002D2EA7" w:rsidP="00570352">
      <w:pPr>
        <w:pStyle w:val="Heading2"/>
        <w:numPr>
          <w:ilvl w:val="0"/>
          <w:numId w:val="25"/>
        </w:numPr>
        <w:jc w:val="both"/>
        <w:rPr>
          <w:rFonts w:ascii="Segoe UI" w:eastAsiaTheme="minorHAnsi" w:hAnsi="Segoe UI" w:cs="Segoe UI"/>
          <w:b/>
          <w:bCs/>
          <w:color w:val="6EDA69"/>
          <w:sz w:val="40"/>
          <w:szCs w:val="40"/>
        </w:rPr>
      </w:pPr>
      <w:bookmarkStart w:id="9" w:name="_Toc183435402"/>
      <w:r w:rsidRPr="001C75B2">
        <w:rPr>
          <w:rFonts w:ascii="Segoe UI" w:eastAsiaTheme="minorHAnsi" w:hAnsi="Segoe UI" w:cs="Segoe UI"/>
          <w:b/>
          <w:bCs/>
          <w:color w:val="6EDA69"/>
          <w:sz w:val="40"/>
          <w:szCs w:val="40"/>
        </w:rPr>
        <w:t xml:space="preserve">Prva faza - kvalifikacija </w:t>
      </w:r>
      <w:r w:rsidR="00602326" w:rsidRPr="001C75B2">
        <w:rPr>
          <w:rFonts w:ascii="Segoe UI" w:eastAsiaTheme="minorHAnsi" w:hAnsi="Segoe UI" w:cs="Segoe UI"/>
          <w:b/>
          <w:bCs/>
          <w:color w:val="6EDA69"/>
          <w:sz w:val="40"/>
          <w:szCs w:val="40"/>
        </w:rPr>
        <w:t>privrednih subjekata</w:t>
      </w:r>
      <w:bookmarkEnd w:id="9"/>
      <w:r w:rsidRPr="001C75B2">
        <w:rPr>
          <w:rFonts w:ascii="Segoe UI" w:eastAsiaTheme="minorHAnsi" w:hAnsi="Segoe UI" w:cs="Segoe UI"/>
          <w:b/>
          <w:bCs/>
          <w:color w:val="6EDA69"/>
          <w:sz w:val="40"/>
          <w:szCs w:val="40"/>
        </w:rPr>
        <w:t xml:space="preserve"> </w:t>
      </w:r>
    </w:p>
    <w:p w14:paraId="718E7DF5" w14:textId="7E51A5B1" w:rsidR="002D2EA7" w:rsidRPr="001C75B2" w:rsidRDefault="002D2EA7" w:rsidP="00EB25A1">
      <w:pPr>
        <w:pStyle w:val="Heading2"/>
        <w:rPr>
          <w:rFonts w:ascii="Segoe UI" w:eastAsiaTheme="minorHAnsi" w:hAnsi="Segoe UI" w:cs="Segoe UI"/>
          <w:b/>
          <w:bCs/>
          <w:color w:val="6EDA69"/>
          <w:sz w:val="40"/>
          <w:szCs w:val="40"/>
        </w:rPr>
      </w:pPr>
      <w:r w:rsidRPr="001C75B2">
        <w:rPr>
          <w:rFonts w:ascii="Segoe UI" w:eastAsiaTheme="minorHAnsi" w:hAnsi="Segoe UI" w:cs="Segoe UI"/>
          <w:b/>
          <w:bCs/>
          <w:color w:val="6EDA69"/>
          <w:sz w:val="40"/>
          <w:szCs w:val="40"/>
        </w:rPr>
        <w:t xml:space="preserve"> </w:t>
      </w:r>
    </w:p>
    <w:p w14:paraId="5A30697A" w14:textId="7485C6D6" w:rsidR="00602326" w:rsidRPr="00DC7523" w:rsidRDefault="00EA2F71" w:rsidP="00602326">
      <w:pPr>
        <w:tabs>
          <w:tab w:val="left" w:pos="720"/>
        </w:tabs>
        <w:suppressAutoHyphens/>
        <w:ind w:left="-15" w:right="48"/>
        <w:jc w:val="both"/>
        <w:rPr>
          <w:rFonts w:ascii="Segoe UI" w:hAnsi="Segoe UI" w:cs="Segoe UI"/>
          <w:sz w:val="24"/>
          <w:szCs w:val="24"/>
        </w:rPr>
      </w:pPr>
      <w:r w:rsidRPr="00DC7523">
        <w:rPr>
          <w:rFonts w:ascii="Segoe UI" w:hAnsi="Segoe UI" w:cs="Segoe UI"/>
          <w:sz w:val="24"/>
          <w:szCs w:val="24"/>
        </w:rPr>
        <w:t xml:space="preserve">Primenom pravila prve faze restriktivnog postupka naručilac vrši kvalifikaciju privrednih subjekata (kandidata) i uspostavlja SDN. </w:t>
      </w:r>
      <w:r w:rsidR="004035EF" w:rsidRPr="00DC7523">
        <w:rPr>
          <w:rFonts w:ascii="Segoe UI" w:hAnsi="Segoe UI" w:cs="Segoe UI"/>
          <w:sz w:val="24"/>
          <w:szCs w:val="24"/>
        </w:rPr>
        <w:t>Za razliku od restr</w:t>
      </w:r>
      <w:r w:rsidR="00B914A9">
        <w:rPr>
          <w:rFonts w:ascii="Segoe UI" w:hAnsi="Segoe UI" w:cs="Segoe UI"/>
          <w:sz w:val="24"/>
          <w:szCs w:val="24"/>
        </w:rPr>
        <w:t>i</w:t>
      </w:r>
      <w:r w:rsidR="004035EF" w:rsidRPr="00DC7523">
        <w:rPr>
          <w:rFonts w:ascii="Segoe UI" w:hAnsi="Segoe UI" w:cs="Segoe UI"/>
          <w:sz w:val="24"/>
          <w:szCs w:val="24"/>
        </w:rPr>
        <w:t>k</w:t>
      </w:r>
      <w:r w:rsidR="00B914A9">
        <w:rPr>
          <w:rFonts w:ascii="Segoe UI" w:hAnsi="Segoe UI" w:cs="Segoe UI"/>
          <w:sz w:val="24"/>
          <w:szCs w:val="24"/>
        </w:rPr>
        <w:t>ti</w:t>
      </w:r>
      <w:r w:rsidR="004035EF" w:rsidRPr="00DC7523">
        <w:rPr>
          <w:rFonts w:ascii="Segoe UI" w:hAnsi="Segoe UI" w:cs="Segoe UI"/>
          <w:sz w:val="24"/>
          <w:szCs w:val="24"/>
        </w:rPr>
        <w:t>v</w:t>
      </w:r>
      <w:r w:rsidR="00B914A9">
        <w:rPr>
          <w:rFonts w:ascii="Segoe UI" w:hAnsi="Segoe UI" w:cs="Segoe UI"/>
          <w:sz w:val="24"/>
          <w:szCs w:val="24"/>
        </w:rPr>
        <w:t>n</w:t>
      </w:r>
      <w:r w:rsidR="004035EF" w:rsidRPr="00DC7523">
        <w:rPr>
          <w:rFonts w:ascii="Segoe UI" w:hAnsi="Segoe UI" w:cs="Segoe UI"/>
          <w:sz w:val="24"/>
          <w:szCs w:val="24"/>
        </w:rPr>
        <w:t xml:space="preserve">og postupka </w:t>
      </w:r>
      <w:r w:rsidR="001816B2">
        <w:rPr>
          <w:rFonts w:ascii="Segoe UI" w:hAnsi="Segoe UI" w:cs="Segoe UI"/>
          <w:sz w:val="24"/>
          <w:szCs w:val="24"/>
        </w:rPr>
        <w:t>koji ne uključuje uspostavljanje</w:t>
      </w:r>
      <w:r w:rsidRPr="00DC7523">
        <w:rPr>
          <w:rFonts w:ascii="Segoe UI" w:hAnsi="Segoe UI" w:cs="Segoe UI"/>
          <w:sz w:val="24"/>
          <w:szCs w:val="24"/>
        </w:rPr>
        <w:t xml:space="preserve"> </w:t>
      </w:r>
      <w:r w:rsidR="004035EF" w:rsidRPr="00DC7523">
        <w:rPr>
          <w:rFonts w:ascii="Segoe UI" w:hAnsi="Segoe UI" w:cs="Segoe UI"/>
          <w:sz w:val="24"/>
          <w:szCs w:val="24"/>
        </w:rPr>
        <w:t>SDN</w:t>
      </w:r>
      <w:r w:rsidR="001816B2">
        <w:rPr>
          <w:rFonts w:ascii="Segoe UI" w:hAnsi="Segoe UI" w:cs="Segoe UI"/>
          <w:sz w:val="24"/>
          <w:szCs w:val="24"/>
        </w:rPr>
        <w:t>-a</w:t>
      </w:r>
      <w:r w:rsidR="004035EF" w:rsidRPr="00DC7523">
        <w:rPr>
          <w:rFonts w:ascii="Segoe UI" w:hAnsi="Segoe UI" w:cs="Segoe UI"/>
          <w:sz w:val="24"/>
          <w:szCs w:val="24"/>
        </w:rPr>
        <w:t>, gde se prva faza završava kvalifikacijom kandidata nakon podnošenja prijava, a potom sprovodi druga faza u kojoj se podnose ponude i dodeljuje ugovor izabranom ponuđaču, čime se i konačno završava postupak</w:t>
      </w:r>
      <w:r w:rsidRPr="00DC7523">
        <w:rPr>
          <w:rFonts w:ascii="Segoe UI" w:hAnsi="Segoe UI" w:cs="Segoe UI"/>
          <w:sz w:val="24"/>
          <w:szCs w:val="24"/>
        </w:rPr>
        <w:t xml:space="preserve"> (dakle jedna kvalifikacija i jedan ugovor)</w:t>
      </w:r>
      <w:r w:rsidR="004035EF" w:rsidRPr="00DC7523">
        <w:rPr>
          <w:rFonts w:ascii="Segoe UI" w:hAnsi="Segoe UI" w:cs="Segoe UI"/>
          <w:sz w:val="24"/>
          <w:szCs w:val="24"/>
        </w:rPr>
        <w:t>, u SDN-u prva faza, odnosno kvalifikacija kandidata kontinuirano traje</w:t>
      </w:r>
      <w:r w:rsidR="00AA59A3" w:rsidRPr="00DC7523">
        <w:rPr>
          <w:rFonts w:ascii="Segoe UI" w:hAnsi="Segoe UI" w:cs="Segoe UI"/>
          <w:sz w:val="24"/>
          <w:szCs w:val="24"/>
        </w:rPr>
        <w:t xml:space="preserve"> dok traje SDN</w:t>
      </w:r>
      <w:r w:rsidR="004035EF" w:rsidRPr="00DC7523">
        <w:rPr>
          <w:rFonts w:ascii="Segoe UI" w:hAnsi="Segoe UI" w:cs="Segoe UI"/>
          <w:sz w:val="24"/>
          <w:szCs w:val="24"/>
        </w:rPr>
        <w:t xml:space="preserve">, a </w:t>
      </w:r>
      <w:r w:rsidRPr="00DC7523">
        <w:rPr>
          <w:rFonts w:ascii="Segoe UI" w:hAnsi="Segoe UI" w:cs="Segoe UI"/>
          <w:sz w:val="24"/>
          <w:szCs w:val="24"/>
        </w:rPr>
        <w:t>druga faza se ponavlja svaki put kada naručilac ima potrebu za predmetom nabavke za koji je uspostavljen SDN i dodeljuju se pojedinačni ugovori</w:t>
      </w:r>
      <w:r w:rsidR="00C85791">
        <w:rPr>
          <w:rFonts w:ascii="Segoe UI" w:hAnsi="Segoe UI" w:cs="Segoe UI"/>
          <w:sz w:val="24"/>
          <w:szCs w:val="24"/>
          <w:lang w:val="sr-Cyrl-RS"/>
        </w:rPr>
        <w:t xml:space="preserve"> </w:t>
      </w:r>
      <w:r w:rsidRPr="00DC7523">
        <w:rPr>
          <w:rFonts w:ascii="Segoe UI" w:hAnsi="Segoe UI" w:cs="Segoe UI"/>
          <w:sz w:val="24"/>
          <w:szCs w:val="24"/>
        </w:rPr>
        <w:t xml:space="preserve">(dakle više kvalifikacija i više ugovora). </w:t>
      </w:r>
    </w:p>
    <w:p w14:paraId="08C7DA23" w14:textId="7E7FE7FF" w:rsidR="00EA2F71" w:rsidRPr="00DC7523" w:rsidRDefault="00EA2F71" w:rsidP="00602326">
      <w:pPr>
        <w:tabs>
          <w:tab w:val="left" w:pos="720"/>
        </w:tabs>
        <w:suppressAutoHyphens/>
        <w:ind w:left="-15" w:right="48"/>
        <w:jc w:val="both"/>
        <w:rPr>
          <w:rFonts w:ascii="Segoe UI" w:hAnsi="Segoe UI" w:cs="Segoe UI"/>
          <w:sz w:val="24"/>
          <w:szCs w:val="24"/>
        </w:rPr>
      </w:pPr>
      <w:r w:rsidRPr="00DC7523">
        <w:rPr>
          <w:rFonts w:ascii="Segoe UI" w:hAnsi="Segoe UI" w:cs="Segoe UI"/>
          <w:sz w:val="24"/>
          <w:szCs w:val="24"/>
        </w:rPr>
        <w:t xml:space="preserve">U nastavku su prikazane ključne aktivnosti koje naručilac ima obavezu da preduzme u prvoj fazi postupka, odnosno kontinuiranoj kvalifikaciji privrednih subjekata tokom trajanja SDN-a.  </w:t>
      </w:r>
    </w:p>
    <w:p w14:paraId="1AB86F0B" w14:textId="253267E4" w:rsidR="00685980" w:rsidRPr="00DC7523" w:rsidRDefault="00685980" w:rsidP="00685980">
      <w:pPr>
        <w:tabs>
          <w:tab w:val="left" w:pos="720"/>
        </w:tabs>
        <w:suppressAutoHyphens/>
        <w:ind w:left="-15" w:right="48"/>
        <w:jc w:val="center"/>
        <w:rPr>
          <w:rFonts w:ascii="Segoe UI" w:hAnsi="Segoe UI" w:cs="Segoe UI"/>
          <w:i/>
          <w:sz w:val="24"/>
          <w:szCs w:val="24"/>
        </w:rPr>
      </w:pPr>
      <w:r w:rsidRPr="00DC7523">
        <w:rPr>
          <w:rFonts w:ascii="Segoe UI" w:hAnsi="Segoe UI" w:cs="Segoe UI"/>
          <w:i/>
          <w:sz w:val="24"/>
          <w:szCs w:val="24"/>
        </w:rPr>
        <w:t>Ključni koraci u prvoj fazi postupka</w:t>
      </w:r>
    </w:p>
    <w:p w14:paraId="3AA224FF" w14:textId="5F94388D" w:rsidR="00685980" w:rsidRPr="00DC7523" w:rsidRDefault="00685980" w:rsidP="00602326">
      <w:pPr>
        <w:tabs>
          <w:tab w:val="left" w:pos="720"/>
        </w:tabs>
        <w:suppressAutoHyphens/>
        <w:ind w:left="-15" w:right="48"/>
        <w:jc w:val="both"/>
        <w:rPr>
          <w:rFonts w:ascii="Segoe UI" w:hAnsi="Segoe UI" w:cs="Segoe UI"/>
          <w:sz w:val="24"/>
          <w:szCs w:val="24"/>
        </w:rPr>
      </w:pPr>
      <w:r w:rsidRPr="00DC7523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544A5A8E" wp14:editId="3670D362">
            <wp:extent cx="5486400" cy="231457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9CD6190" w14:textId="4D9BCE45" w:rsidR="00EB25A1" w:rsidRDefault="00EB25A1" w:rsidP="00EB25A1">
      <w:pPr>
        <w:pStyle w:val="NormalWeb"/>
        <w:ind w:left="360"/>
        <w:jc w:val="both"/>
        <w:rPr>
          <w:rFonts w:ascii="Segoe UI" w:hAnsi="Segoe UI" w:cs="Segoe UI"/>
          <w:b/>
          <w:color w:val="212529"/>
        </w:rPr>
      </w:pPr>
    </w:p>
    <w:p w14:paraId="4C9D9214" w14:textId="5D42E162" w:rsidR="000D04FF" w:rsidRPr="00DC7523" w:rsidRDefault="000D04FF" w:rsidP="00B7087D">
      <w:pPr>
        <w:pStyle w:val="NormalWeb"/>
        <w:numPr>
          <w:ilvl w:val="0"/>
          <w:numId w:val="3"/>
        </w:numPr>
        <w:jc w:val="both"/>
        <w:rPr>
          <w:rFonts w:ascii="Segoe UI" w:hAnsi="Segoe UI" w:cs="Segoe UI"/>
          <w:b/>
          <w:color w:val="212529"/>
        </w:rPr>
      </w:pPr>
      <w:r w:rsidRPr="00DC7523">
        <w:rPr>
          <w:rFonts w:ascii="Segoe UI" w:hAnsi="Segoe UI" w:cs="Segoe UI"/>
          <w:b/>
          <w:color w:val="212529"/>
        </w:rPr>
        <w:t xml:space="preserve">Planiranje nabavke i određivanje procenjene vrednosti </w:t>
      </w:r>
    </w:p>
    <w:p w14:paraId="4F6101C8" w14:textId="157F4E29" w:rsidR="00F41606" w:rsidRPr="00DC7523" w:rsidRDefault="000D04FF" w:rsidP="00F41606">
      <w:pPr>
        <w:pStyle w:val="NormalWeb"/>
        <w:jc w:val="both"/>
        <w:rPr>
          <w:rFonts w:ascii="Segoe UI" w:hAnsi="Segoe UI" w:cs="Segoe UI"/>
          <w:color w:val="212529"/>
        </w:rPr>
      </w:pPr>
      <w:r w:rsidRPr="00DC7523">
        <w:rPr>
          <w:rFonts w:ascii="Segoe UI" w:hAnsi="Segoe UI" w:cs="Segoe UI"/>
          <w:color w:val="212529"/>
        </w:rPr>
        <w:t xml:space="preserve">Postupak javne nabavke sa ciljem uspostavljanja SDN-a naručilac treba da predvidi u godišnjem planu javnih nabavki. </w:t>
      </w:r>
      <w:r w:rsidR="003505EB">
        <w:rPr>
          <w:rFonts w:ascii="Segoe UI" w:hAnsi="Segoe UI" w:cs="Segoe UI"/>
          <w:color w:val="212529"/>
        </w:rPr>
        <w:t>Naručilac u</w:t>
      </w:r>
      <w:r w:rsidR="00F41606" w:rsidRPr="00DC7523">
        <w:rPr>
          <w:rFonts w:ascii="Segoe UI" w:hAnsi="Segoe UI" w:cs="Segoe UI"/>
          <w:color w:val="212529"/>
        </w:rPr>
        <w:t xml:space="preserve"> planu</w:t>
      </w:r>
      <w:r w:rsidRPr="00DC7523">
        <w:rPr>
          <w:rFonts w:ascii="Segoe UI" w:hAnsi="Segoe UI" w:cs="Segoe UI"/>
          <w:color w:val="212529"/>
        </w:rPr>
        <w:t xml:space="preserve"> kao vrstu postupka navodi restriktivni postupak, ali </w:t>
      </w:r>
      <w:r w:rsidR="00F41606" w:rsidRPr="00DC7523">
        <w:rPr>
          <w:rFonts w:ascii="Segoe UI" w:hAnsi="Segoe UI" w:cs="Segoe UI"/>
          <w:color w:val="212529"/>
        </w:rPr>
        <w:t xml:space="preserve">nije dužan da navede da primenjuje tehniku SDN iako tu mogućnost ima. Ukoliko naručilac želi da u planu nabavki navede da za konkretnu </w:t>
      </w:r>
      <w:r w:rsidR="00F41606" w:rsidRPr="00DC7523">
        <w:rPr>
          <w:rFonts w:ascii="Segoe UI" w:hAnsi="Segoe UI" w:cs="Segoe UI"/>
          <w:color w:val="212529"/>
        </w:rPr>
        <w:lastRenderedPageBreak/>
        <w:t xml:space="preserve">nabavku planira </w:t>
      </w:r>
      <w:r w:rsidR="0094213A" w:rsidRPr="00DC7523">
        <w:rPr>
          <w:rFonts w:ascii="Segoe UI" w:hAnsi="Segoe UI" w:cs="Segoe UI"/>
          <w:color w:val="212529"/>
        </w:rPr>
        <w:t xml:space="preserve">da </w:t>
      </w:r>
      <w:r w:rsidR="00F41606" w:rsidRPr="00DC7523">
        <w:rPr>
          <w:rFonts w:ascii="Segoe UI" w:hAnsi="Segoe UI" w:cs="Segoe UI"/>
          <w:color w:val="212529"/>
        </w:rPr>
        <w:t>uspostavi SDN, u skladu sa funkcionalnostima Portala prilikom izrade plana u koloni ,,Tehnika“, koristeći padajući meni bira opciju ,,Sistem dinamične nabavke“. Okolnost da li je u planu nabavki naručilac označio da za konkretan predmet nabavke uspostavlja SDN nije od uticaja na dalje sprovođenje postupka. Stoga, iako naručilac nije označio navedeno, može primeniti tehniku SDN, ali može i da je ne primeni</w:t>
      </w:r>
      <w:r w:rsidR="005F2684" w:rsidRPr="00DC7523">
        <w:rPr>
          <w:rFonts w:ascii="Segoe UI" w:hAnsi="Segoe UI" w:cs="Segoe UI"/>
          <w:color w:val="212529"/>
        </w:rPr>
        <w:t xml:space="preserve"> </w:t>
      </w:r>
      <w:r w:rsidR="005F2684" w:rsidRPr="00BB1D7B">
        <w:rPr>
          <w:rFonts w:ascii="Segoe UI" w:hAnsi="Segoe UI" w:cs="Segoe UI"/>
        </w:rPr>
        <w:t>kada je u planu naveo da će ovu tehniku primeniti.</w:t>
      </w:r>
    </w:p>
    <w:p w14:paraId="53C0F61C" w14:textId="1684D740" w:rsidR="00A94673" w:rsidRPr="00DC7523" w:rsidRDefault="00A94673" w:rsidP="00F41606">
      <w:pPr>
        <w:pStyle w:val="NormalWeb"/>
        <w:jc w:val="both"/>
        <w:rPr>
          <w:rFonts w:ascii="Segoe UI" w:hAnsi="Segoe UI" w:cs="Segoe UI"/>
          <w:color w:val="212529"/>
        </w:rPr>
      </w:pPr>
      <w:r w:rsidRPr="00DC7523">
        <w:rPr>
          <w:rFonts w:ascii="Segoe UI" w:hAnsi="Segoe UI" w:cs="Segoe UI"/>
          <w:color w:val="212529"/>
        </w:rPr>
        <w:t>Procenjena vrednost javne nabavke obuhvata vrednost svih ugovora koje naručilac namerava da zaključi za vreme trajanja SDN-a</w:t>
      </w:r>
      <w:r w:rsidRPr="00DC7523">
        <w:rPr>
          <w:rStyle w:val="FootnoteReference"/>
          <w:rFonts w:ascii="Segoe UI" w:hAnsi="Segoe UI" w:cs="Segoe UI"/>
          <w:color w:val="212529"/>
        </w:rPr>
        <w:footnoteReference w:id="12"/>
      </w:r>
      <w:r w:rsidRPr="00DC7523">
        <w:rPr>
          <w:rFonts w:ascii="Segoe UI" w:hAnsi="Segoe UI" w:cs="Segoe UI"/>
          <w:color w:val="212529"/>
        </w:rPr>
        <w:t>. To ne znači i da u finansijskom planu mora imati obezbeđena sredstva za sve ugovore koje će zaključiti u okviru SDN-a, već ih mora imati u trenutku zaključenja pojedinačnog ugovora na osnovu SDN-a, kada i nastaje preuzimanje finansijskih obaveza</w:t>
      </w:r>
      <w:r w:rsidRPr="00DC7523">
        <w:rPr>
          <w:rStyle w:val="FootnoteReference"/>
          <w:rFonts w:ascii="Segoe UI" w:hAnsi="Segoe UI" w:cs="Segoe UI"/>
          <w:color w:val="212529"/>
        </w:rPr>
        <w:footnoteReference w:id="13"/>
      </w:r>
      <w:r w:rsidR="005F2684" w:rsidRPr="00DC7523">
        <w:rPr>
          <w:rFonts w:ascii="Segoe UI" w:hAnsi="Segoe UI" w:cs="Segoe UI"/>
          <w:color w:val="212529"/>
        </w:rPr>
        <w:t>.</w:t>
      </w:r>
    </w:p>
    <w:p w14:paraId="1869B524" w14:textId="470EC284" w:rsidR="00A94673" w:rsidRPr="00DC7523" w:rsidRDefault="00A94673" w:rsidP="00B7087D">
      <w:pPr>
        <w:pStyle w:val="NormalWeb"/>
        <w:numPr>
          <w:ilvl w:val="0"/>
          <w:numId w:val="3"/>
        </w:numPr>
        <w:jc w:val="both"/>
        <w:rPr>
          <w:rFonts w:ascii="Segoe UI" w:hAnsi="Segoe UI" w:cs="Segoe UI"/>
          <w:b/>
          <w:color w:val="212529"/>
        </w:rPr>
      </w:pPr>
      <w:r w:rsidRPr="00DC7523">
        <w:rPr>
          <w:rFonts w:ascii="Segoe UI" w:hAnsi="Segoe UI" w:cs="Segoe UI"/>
          <w:b/>
          <w:color w:val="212529"/>
        </w:rPr>
        <w:t>Donošenje odluke o sprovođenju postupka javne nabavke</w:t>
      </w:r>
    </w:p>
    <w:p w14:paraId="32809212" w14:textId="3A0D6F47" w:rsidR="00A94673" w:rsidRPr="00DC7523" w:rsidRDefault="00A94673" w:rsidP="00A94673">
      <w:pPr>
        <w:spacing w:before="120" w:after="12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Naručilac donosi odluku o sprovođenju postupka javne nabavke koja sadrži podatke propisane članom 91. ZJN-a, što ne uključuje i podatak da se primenjuje tehnika SDN-</w:t>
      </w:r>
      <w:r w:rsidR="00EA2F71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a,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ali je poželjno već u odluci to navesti, kako bi komisija za javnu nabavku</w:t>
      </w:r>
      <w:r w:rsidR="005F2684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,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čiji </w:t>
      </w:r>
      <w:r w:rsidR="005F2684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se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sastav određuje odlukom</w:t>
      </w:r>
      <w:r w:rsidR="005F2684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,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imala jasne inpute za pripremu dokumentacije o nabavci.  </w:t>
      </w:r>
    </w:p>
    <w:p w14:paraId="553BD53F" w14:textId="3A893FFF" w:rsidR="00A94673" w:rsidRPr="00DC7523" w:rsidRDefault="00A94673" w:rsidP="00B7087D">
      <w:pPr>
        <w:pStyle w:val="NormalWeb"/>
        <w:numPr>
          <w:ilvl w:val="0"/>
          <w:numId w:val="3"/>
        </w:numPr>
        <w:jc w:val="both"/>
        <w:rPr>
          <w:rFonts w:ascii="Segoe UI" w:hAnsi="Segoe UI" w:cs="Segoe UI"/>
          <w:b/>
          <w:color w:val="212529"/>
        </w:rPr>
      </w:pPr>
      <w:r w:rsidRPr="00DC7523">
        <w:rPr>
          <w:rFonts w:ascii="Segoe UI" w:hAnsi="Segoe UI" w:cs="Segoe UI"/>
          <w:b/>
          <w:color w:val="212529"/>
        </w:rPr>
        <w:t>Objavljivanje javnog poziva i konkursne dokumentacije</w:t>
      </w:r>
    </w:p>
    <w:p w14:paraId="1A8A2D8F" w14:textId="27748477" w:rsidR="00AA59A3" w:rsidRPr="00DC7523" w:rsidRDefault="00AA59A3" w:rsidP="00AA59A3">
      <w:pPr>
        <w:spacing w:before="120" w:after="12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Naručilac koristeći funkcionalnosti Portala priprema i šalje na objavljivanje javni poziv i konku</w:t>
      </w:r>
      <w:r w:rsidR="001A1B8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r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snu dokumentaciju</w:t>
      </w:r>
      <w:r w:rsidR="0026046E">
        <w:rPr>
          <w:rStyle w:val="FootnoteReference"/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footnoteReference w:id="14"/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.  </w:t>
      </w:r>
    </w:p>
    <w:p w14:paraId="22128E57" w14:textId="77777777" w:rsidR="00A368E8" w:rsidRPr="00DC7523" w:rsidRDefault="00AA59A3" w:rsidP="00B7087D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Segoe UI" w:hAnsi="Segoe UI" w:cs="Segoe UI"/>
          <w:color w:val="212529"/>
          <w:sz w:val="24"/>
          <w:szCs w:val="24"/>
        </w:rPr>
      </w:pPr>
      <w:r w:rsidRPr="00DC7523">
        <w:rPr>
          <w:rFonts w:ascii="Segoe UI" w:eastAsia="Times New Roman" w:hAnsi="Segoe UI" w:cs="Segoe UI"/>
          <w:b/>
          <w:color w:val="212529"/>
          <w:kern w:val="0"/>
          <w:sz w:val="24"/>
          <w:szCs w:val="24"/>
          <w:lang w:eastAsia="sr-Latn-RS"/>
          <w14:ligatures w14:val="none"/>
        </w:rPr>
        <w:t>Javni poziv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</w:t>
      </w:r>
    </w:p>
    <w:p w14:paraId="544AFB33" w14:textId="4BFD1B69" w:rsidR="00AA59A3" w:rsidRPr="00BB1D7B" w:rsidRDefault="00AA59A3" w:rsidP="00A368E8">
      <w:pPr>
        <w:spacing w:before="120" w:after="120"/>
        <w:jc w:val="both"/>
        <w:rPr>
          <w:rFonts w:ascii="Segoe UI" w:hAnsi="Segoe UI" w:cs="Segoe UI"/>
          <w:color w:val="212529"/>
          <w:sz w:val="24"/>
          <w:szCs w:val="24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U javnom</w:t>
      </w:r>
      <w:r w:rsidRPr="00DC7523">
        <w:rPr>
          <w:rFonts w:ascii="Segoe UI" w:hAnsi="Segoe UI" w:cs="Segoe UI"/>
          <w:color w:val="212529"/>
          <w:sz w:val="24"/>
          <w:szCs w:val="24"/>
        </w:rPr>
        <w:t xml:space="preserve"> pozivu koji kreira Portal na osnovu podataka koje unosi naručilac prilikom formiranja dokumentacije o nabavci sadržani su</w:t>
      </w:r>
      <w:r w:rsidR="00A368E8" w:rsidRPr="00DC7523">
        <w:rPr>
          <w:rFonts w:ascii="Segoe UI" w:hAnsi="Segoe UI" w:cs="Segoe UI"/>
          <w:color w:val="212529"/>
          <w:sz w:val="24"/>
          <w:szCs w:val="24"/>
        </w:rPr>
        <w:t>, pore</w:t>
      </w:r>
      <w:r w:rsidR="00A368E8" w:rsidRPr="00BB1D7B">
        <w:rPr>
          <w:rFonts w:ascii="Segoe UI" w:hAnsi="Segoe UI" w:cs="Segoe UI"/>
          <w:color w:val="212529"/>
          <w:sz w:val="24"/>
          <w:szCs w:val="24"/>
        </w:rPr>
        <w:t>d ostalog,</w:t>
      </w:r>
      <w:r w:rsidRPr="00BB1D7B">
        <w:rPr>
          <w:rFonts w:ascii="Segoe UI" w:hAnsi="Segoe UI" w:cs="Segoe UI"/>
          <w:color w:val="212529"/>
          <w:sz w:val="24"/>
          <w:szCs w:val="24"/>
        </w:rPr>
        <w:t xml:space="preserve"> podaci o SDN-u i to:</w:t>
      </w:r>
    </w:p>
    <w:p w14:paraId="48105024" w14:textId="77777777" w:rsidR="00BB1D7B" w:rsidRDefault="00A368E8" w:rsidP="00B7087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Segoe UI" w:hAnsi="Segoe UI" w:cs="Segoe UI"/>
          <w:color w:val="212529"/>
        </w:rPr>
      </w:pPr>
      <w:r w:rsidRPr="00BB1D7B">
        <w:rPr>
          <w:rFonts w:ascii="Segoe UI" w:hAnsi="Segoe UI" w:cs="Segoe UI"/>
          <w:color w:val="212529"/>
        </w:rPr>
        <w:t xml:space="preserve">da </w:t>
      </w:r>
      <w:r w:rsidR="005A7C5D" w:rsidRPr="00BB1D7B">
        <w:rPr>
          <w:rFonts w:ascii="Segoe UI" w:hAnsi="Segoe UI" w:cs="Segoe UI"/>
          <w:color w:val="212529"/>
        </w:rPr>
        <w:t xml:space="preserve">nabavka uključuje </w:t>
      </w:r>
      <w:r w:rsidRPr="00BB1D7B">
        <w:rPr>
          <w:rFonts w:ascii="Segoe UI" w:hAnsi="Segoe UI" w:cs="Segoe UI"/>
          <w:color w:val="212529"/>
        </w:rPr>
        <w:t>uspostavlja</w:t>
      </w:r>
      <w:r w:rsidR="007C3F84" w:rsidRPr="00BB1D7B">
        <w:rPr>
          <w:rFonts w:ascii="Segoe UI" w:hAnsi="Segoe UI" w:cs="Segoe UI"/>
          <w:color w:val="212529"/>
        </w:rPr>
        <w:t>nje</w:t>
      </w:r>
      <w:r w:rsidRPr="00BB1D7B">
        <w:rPr>
          <w:rFonts w:ascii="Segoe UI" w:hAnsi="Segoe UI" w:cs="Segoe UI"/>
          <w:color w:val="212529"/>
        </w:rPr>
        <w:t xml:space="preserve"> SDN</w:t>
      </w:r>
      <w:r w:rsidR="00B01862" w:rsidRPr="00BB1D7B">
        <w:rPr>
          <w:rFonts w:ascii="Segoe UI" w:hAnsi="Segoe UI" w:cs="Segoe UI"/>
          <w:color w:val="212529"/>
        </w:rPr>
        <w:t>-a</w:t>
      </w:r>
      <w:r w:rsidR="00AA59A3" w:rsidRPr="00BB1D7B">
        <w:rPr>
          <w:rFonts w:ascii="Segoe UI" w:hAnsi="Segoe UI" w:cs="Segoe UI"/>
          <w:color w:val="212529"/>
        </w:rPr>
        <w:t xml:space="preserve">, </w:t>
      </w:r>
    </w:p>
    <w:p w14:paraId="4FB31FAC" w14:textId="249D558E" w:rsidR="00AA59A3" w:rsidRPr="00BB1D7B" w:rsidRDefault="00BC069C" w:rsidP="00B7087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period trajanja </w:t>
      </w:r>
      <w:r w:rsidR="005F2684" w:rsidRPr="00BB1D7B">
        <w:rPr>
          <w:rFonts w:ascii="Segoe UI" w:hAnsi="Segoe UI" w:cs="Segoe UI"/>
          <w:color w:val="212529"/>
        </w:rPr>
        <w:t>SDN</w:t>
      </w:r>
      <w:r>
        <w:rPr>
          <w:rFonts w:ascii="Segoe UI" w:hAnsi="Segoe UI" w:cs="Segoe UI"/>
          <w:color w:val="212529"/>
        </w:rPr>
        <w:t>-a</w:t>
      </w:r>
      <w:r w:rsidR="004E4BCB">
        <w:rPr>
          <w:rFonts w:ascii="Segoe UI" w:hAnsi="Segoe UI" w:cs="Segoe UI"/>
          <w:color w:val="212529"/>
        </w:rPr>
        <w:t>,</w:t>
      </w:r>
      <w:r w:rsidR="005F2684" w:rsidRPr="00BB1D7B">
        <w:rPr>
          <w:rFonts w:ascii="Segoe UI" w:hAnsi="Segoe UI" w:cs="Segoe UI"/>
          <w:color w:val="212529"/>
        </w:rPr>
        <w:t xml:space="preserve"> </w:t>
      </w:r>
    </w:p>
    <w:p w14:paraId="25D2F47C" w14:textId="25E604BF" w:rsidR="00AA59A3" w:rsidRPr="00DC7523" w:rsidRDefault="00AA59A3" w:rsidP="00B7087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Segoe UI" w:hAnsi="Segoe UI" w:cs="Segoe UI"/>
          <w:color w:val="212529"/>
        </w:rPr>
      </w:pPr>
      <w:r w:rsidRPr="00DC7523">
        <w:rPr>
          <w:rFonts w:ascii="Segoe UI" w:hAnsi="Segoe UI" w:cs="Segoe UI"/>
          <w:color w:val="212529"/>
        </w:rPr>
        <w:t xml:space="preserve">podatak o vrednosti ili obimu i učestalosti ugovora koji se dodeljuju </w:t>
      </w:r>
      <w:r w:rsidR="00A368E8" w:rsidRPr="00DC7523">
        <w:rPr>
          <w:rFonts w:ascii="Segoe UI" w:hAnsi="Segoe UI" w:cs="Segoe UI"/>
          <w:color w:val="212529"/>
        </w:rPr>
        <w:t>u okviru SDN-a</w:t>
      </w:r>
      <w:r w:rsidR="00464CFF">
        <w:rPr>
          <w:rStyle w:val="FootnoteReference"/>
          <w:rFonts w:ascii="Segoe UI" w:hAnsi="Segoe UI" w:cs="Segoe UI"/>
          <w:color w:val="212529"/>
        </w:rPr>
        <w:footnoteReference w:id="15"/>
      </w:r>
      <w:r w:rsidRPr="00DC7523">
        <w:rPr>
          <w:rFonts w:ascii="Segoe UI" w:hAnsi="Segoe UI" w:cs="Segoe UI"/>
          <w:color w:val="212529"/>
        </w:rPr>
        <w:t xml:space="preserve">. </w:t>
      </w:r>
    </w:p>
    <w:p w14:paraId="55299796" w14:textId="77777777" w:rsidR="00C8427E" w:rsidRPr="00DC7523" w:rsidRDefault="00C8427E" w:rsidP="00C8427E">
      <w:pPr>
        <w:pStyle w:val="NormalWeb"/>
        <w:shd w:val="clear" w:color="auto" w:fill="FFFFFF"/>
        <w:spacing w:before="0" w:beforeAutospacing="0" w:after="0" w:afterAutospacing="0" w:line="360" w:lineRule="atLeast"/>
        <w:ind w:left="1068"/>
        <w:jc w:val="both"/>
        <w:textAlignment w:val="baseline"/>
        <w:rPr>
          <w:rFonts w:ascii="Segoe UI" w:hAnsi="Segoe UI" w:cs="Segoe UI"/>
          <w:color w:val="212529"/>
        </w:rPr>
      </w:pPr>
    </w:p>
    <w:p w14:paraId="19270902" w14:textId="3478E62D" w:rsidR="00AA59A3" w:rsidRPr="00DC7523" w:rsidRDefault="00782116" w:rsidP="00782116">
      <w:pPr>
        <w:jc w:val="both"/>
        <w:rPr>
          <w:rFonts w:ascii="Segoe UI" w:hAnsi="Segoe UI" w:cs="Segoe UI"/>
          <w:color w:val="2F2FE2" w:themeColor="accent2" w:themeTint="99"/>
          <w:sz w:val="24"/>
          <w:szCs w:val="24"/>
        </w:rPr>
      </w:pPr>
      <w:r w:rsidRPr="00DC7523">
        <w:rPr>
          <w:rFonts w:ascii="Segoe UI" w:hAnsi="Segoe UI" w:cs="Segoe UI"/>
          <w:color w:val="212529"/>
          <w:sz w:val="24"/>
          <w:szCs w:val="24"/>
        </w:rPr>
        <w:t xml:space="preserve">Pored objavljivanja na Portalu postoji obaveza objavlјivanja </w:t>
      </w:r>
      <w:r w:rsidR="00C8427E" w:rsidRPr="00DC7523">
        <w:rPr>
          <w:rFonts w:ascii="Segoe UI" w:hAnsi="Segoe UI" w:cs="Segoe UI"/>
          <w:color w:val="212529"/>
          <w:sz w:val="24"/>
          <w:szCs w:val="24"/>
        </w:rPr>
        <w:t xml:space="preserve">javnog poziva </w:t>
      </w:r>
      <w:r w:rsidRPr="00DC7523">
        <w:rPr>
          <w:rFonts w:ascii="Segoe UI" w:hAnsi="Segoe UI" w:cs="Segoe UI"/>
          <w:color w:val="212529"/>
          <w:sz w:val="24"/>
          <w:szCs w:val="24"/>
        </w:rPr>
        <w:t>i na Portalu službenih glasila Republike Srbije i baza propisa</w:t>
      </w:r>
      <w:r w:rsidRPr="00DC7523">
        <w:rPr>
          <w:rStyle w:val="FootnoteReference"/>
          <w:rFonts w:ascii="Segoe UI" w:hAnsi="Segoe UI" w:cs="Segoe UI"/>
          <w:color w:val="212529"/>
          <w:sz w:val="24"/>
          <w:szCs w:val="24"/>
        </w:rPr>
        <w:footnoteReference w:id="16"/>
      </w:r>
      <w:r w:rsidRPr="00DC7523">
        <w:rPr>
          <w:rFonts w:ascii="Segoe UI" w:hAnsi="Segoe UI" w:cs="Segoe UI"/>
          <w:color w:val="212529"/>
          <w:sz w:val="24"/>
          <w:szCs w:val="24"/>
        </w:rPr>
        <w:t>, ukoliko je reč o postupku javne nabavke čija je procenjena vrednost jednaka ili veća od 5.000.000 dinara</w:t>
      </w:r>
      <w:r w:rsidR="00C8427E" w:rsidRPr="00DC7523">
        <w:rPr>
          <w:rFonts w:ascii="Segoe UI" w:hAnsi="Segoe UI" w:cs="Segoe UI"/>
          <w:color w:val="212529"/>
          <w:sz w:val="24"/>
          <w:szCs w:val="24"/>
        </w:rPr>
        <w:t xml:space="preserve">, čija forma i </w:t>
      </w:r>
      <w:r w:rsidR="00C8427E" w:rsidRPr="00DC7523">
        <w:rPr>
          <w:rFonts w:ascii="Segoe UI" w:hAnsi="Segoe UI" w:cs="Segoe UI"/>
          <w:color w:val="212529"/>
          <w:sz w:val="24"/>
          <w:szCs w:val="24"/>
        </w:rPr>
        <w:lastRenderedPageBreak/>
        <w:t xml:space="preserve">sadržina se kreira na Portalu, ali se ne šalje na objavljivanje putem Portala, već putem elektronske pošte na e-mail adresu: </w:t>
      </w:r>
      <w:hyperlink r:id="rId16" w:history="1">
        <w:r w:rsidR="00C8427E" w:rsidRPr="00DC7523">
          <w:rPr>
            <w:rFonts w:ascii="Segoe UI" w:hAnsi="Segoe UI" w:cs="Segoe UI"/>
            <w:color w:val="2F2FE2" w:themeColor="accent2" w:themeTint="99"/>
            <w:sz w:val="24"/>
            <w:szCs w:val="24"/>
          </w:rPr>
          <w:t>tender@slglasnik.com</w:t>
        </w:r>
      </w:hyperlink>
      <w:r w:rsidR="00C8427E" w:rsidRPr="00DC7523">
        <w:rPr>
          <w:rFonts w:ascii="Segoe UI" w:hAnsi="Segoe UI" w:cs="Segoe UI"/>
          <w:color w:val="2F2FE2" w:themeColor="accent2" w:themeTint="99"/>
          <w:sz w:val="24"/>
          <w:szCs w:val="24"/>
        </w:rPr>
        <w:t>.</w:t>
      </w:r>
    </w:p>
    <w:p w14:paraId="7A663BCE" w14:textId="6D0C5586" w:rsidR="00AA59A3" w:rsidRPr="00DC7523" w:rsidRDefault="00B01862" w:rsidP="00B7087D">
      <w:pPr>
        <w:pStyle w:val="ListParagraph"/>
        <w:numPr>
          <w:ilvl w:val="0"/>
          <w:numId w:val="6"/>
        </w:numPr>
        <w:jc w:val="both"/>
        <w:rPr>
          <w:rFonts w:ascii="Segoe UI" w:eastAsia="Times New Roman" w:hAnsi="Segoe UI" w:cs="Segoe UI"/>
          <w:b/>
          <w:bCs/>
          <w:kern w:val="0"/>
          <w:lang w:val="sr-Cyrl-RS" w:eastAsia="sr-Latn-RS"/>
          <w14:ligatures w14:val="none"/>
        </w:rPr>
      </w:pPr>
      <w:r w:rsidRPr="00DC7523">
        <w:rPr>
          <w:rFonts w:ascii="Segoe UI" w:eastAsia="Times New Roman" w:hAnsi="Segoe UI" w:cs="Segoe UI"/>
          <w:b/>
          <w:bCs/>
          <w:kern w:val="0"/>
          <w:lang w:eastAsia="sr-Latn-RS"/>
          <w14:ligatures w14:val="none"/>
        </w:rPr>
        <w:t xml:space="preserve">Rokovi za podnošenje prijava </w:t>
      </w:r>
    </w:p>
    <w:p w14:paraId="7F9AA6E7" w14:textId="637AB03A" w:rsidR="00B01862" w:rsidRPr="00DC7523" w:rsidRDefault="00B01862" w:rsidP="00B01862">
      <w:pPr>
        <w:rPr>
          <w:rFonts w:ascii="Segoe UI" w:hAnsi="Segoe UI" w:cs="Segoe UI"/>
          <w:sz w:val="24"/>
          <w:szCs w:val="24"/>
          <w:lang w:val="en-US"/>
        </w:rPr>
      </w:pPr>
      <w:r w:rsidRPr="00DC7523">
        <w:rPr>
          <w:rFonts w:ascii="Segoe UI" w:hAnsi="Segoe UI" w:cs="Segoe UI"/>
          <w:bCs/>
          <w:sz w:val="24"/>
          <w:szCs w:val="24"/>
          <w:lang w:val="en-US"/>
        </w:rPr>
        <w:t xml:space="preserve">U fazi uspostavljanja SDN-a primenjuje se minimalni rok za podnošenje prijava, koji zavisi od procenjene vrednosti javne nabavke: </w:t>
      </w:r>
    </w:p>
    <w:p w14:paraId="6B01DE7B" w14:textId="49B4ED71" w:rsidR="00B01862" w:rsidRPr="00DC7523" w:rsidRDefault="00B01862" w:rsidP="00B7087D">
      <w:pPr>
        <w:pStyle w:val="ListParagraph"/>
        <w:numPr>
          <w:ilvl w:val="0"/>
          <w:numId w:val="7"/>
        </w:numPr>
        <w:rPr>
          <w:rFonts w:ascii="Segoe UI" w:hAnsi="Segoe UI" w:cs="Segoe UI"/>
          <w:sz w:val="24"/>
          <w:szCs w:val="24"/>
          <w:lang w:val="en-US"/>
        </w:rPr>
      </w:pPr>
      <w:r w:rsidRPr="00DC7523">
        <w:rPr>
          <w:rFonts w:ascii="Segoe UI" w:hAnsi="Segoe UI" w:cs="Segoe UI"/>
          <w:sz w:val="24"/>
          <w:szCs w:val="24"/>
          <w:lang w:val="en-US"/>
        </w:rPr>
        <w:t xml:space="preserve">Procenjena vrednost javne nabavke </w:t>
      </w:r>
      <w:r w:rsidRPr="00DC7523">
        <w:rPr>
          <w:rFonts w:ascii="Segoe UI" w:hAnsi="Segoe UI" w:cs="Segoe UI"/>
          <w:b/>
          <w:bCs/>
          <w:sz w:val="24"/>
          <w:szCs w:val="24"/>
          <w:lang w:val="en-US"/>
        </w:rPr>
        <w:t>≥</w:t>
      </w:r>
      <w:r w:rsidRPr="00DC7523">
        <w:rPr>
          <w:rFonts w:ascii="Segoe UI" w:hAnsi="Segoe UI" w:cs="Segoe UI"/>
          <w:sz w:val="24"/>
          <w:szCs w:val="24"/>
          <w:lang w:val="en-US"/>
        </w:rPr>
        <w:t xml:space="preserve"> od EU pragova - </w:t>
      </w:r>
      <w:r w:rsidRPr="00DC7523">
        <w:rPr>
          <w:rFonts w:ascii="Segoe UI" w:hAnsi="Segoe UI" w:cs="Segoe UI"/>
          <w:b/>
          <w:bCs/>
          <w:sz w:val="24"/>
          <w:szCs w:val="24"/>
          <w:lang w:val="en-US"/>
        </w:rPr>
        <w:t xml:space="preserve">30 dana </w:t>
      </w:r>
      <w:r w:rsidRPr="00DC7523">
        <w:rPr>
          <w:rFonts w:ascii="Segoe UI" w:hAnsi="Segoe UI" w:cs="Segoe UI"/>
          <w:sz w:val="24"/>
          <w:szCs w:val="24"/>
          <w:lang w:val="en-US"/>
        </w:rPr>
        <w:t xml:space="preserve">od dana slanja​ na objavljivanje javnog poziva </w:t>
      </w:r>
    </w:p>
    <w:p w14:paraId="41C10A8C" w14:textId="25FCB666" w:rsidR="00B01862" w:rsidRPr="00DC7523" w:rsidRDefault="00B01862" w:rsidP="00B7087D">
      <w:pPr>
        <w:pStyle w:val="ListParagraph"/>
        <w:numPr>
          <w:ilvl w:val="0"/>
          <w:numId w:val="7"/>
        </w:numPr>
        <w:rPr>
          <w:rFonts w:ascii="Segoe UI" w:hAnsi="Segoe UI" w:cs="Segoe UI"/>
          <w:sz w:val="24"/>
          <w:szCs w:val="24"/>
          <w:lang w:val="en-US"/>
        </w:rPr>
      </w:pPr>
      <w:r w:rsidRPr="00DC7523">
        <w:rPr>
          <w:rFonts w:ascii="Segoe UI" w:hAnsi="Segoe UI" w:cs="Segoe UI"/>
          <w:sz w:val="24"/>
          <w:szCs w:val="24"/>
          <w:lang w:val="en-US"/>
        </w:rPr>
        <w:t xml:space="preserve">Procenjena vrednost javne nabavke </w:t>
      </w:r>
      <w:r w:rsidRPr="00DC7523">
        <w:rPr>
          <w:rFonts w:ascii="Segoe UI" w:hAnsi="Segoe UI" w:cs="Segoe UI"/>
          <w:b/>
          <w:bCs/>
          <w:sz w:val="24"/>
          <w:szCs w:val="24"/>
          <w:lang w:val="en-US"/>
        </w:rPr>
        <w:t>˂</w:t>
      </w:r>
      <w:r w:rsidRPr="00DC7523">
        <w:rPr>
          <w:rFonts w:ascii="Segoe UI" w:hAnsi="Segoe UI" w:cs="Segoe UI"/>
          <w:sz w:val="24"/>
          <w:szCs w:val="24"/>
          <w:lang w:val="en-US"/>
        </w:rPr>
        <w:t xml:space="preserve"> od EU pragova - </w:t>
      </w:r>
      <w:r w:rsidRPr="00DC7523">
        <w:rPr>
          <w:rFonts w:ascii="Segoe UI" w:hAnsi="Segoe UI" w:cs="Segoe UI"/>
          <w:b/>
          <w:bCs/>
          <w:sz w:val="24"/>
          <w:szCs w:val="24"/>
          <w:lang w:val="en-US"/>
        </w:rPr>
        <w:t xml:space="preserve">20 dana </w:t>
      </w:r>
      <w:r w:rsidRPr="00DC7523">
        <w:rPr>
          <w:rFonts w:ascii="Segoe UI" w:hAnsi="Segoe UI" w:cs="Segoe UI"/>
          <w:sz w:val="24"/>
          <w:szCs w:val="24"/>
          <w:lang w:val="en-US"/>
        </w:rPr>
        <w:t xml:space="preserve">od dana slanja na objavljivanje javnog poziva </w:t>
      </w:r>
    </w:p>
    <w:p w14:paraId="24F46A8C" w14:textId="3DC8DFA2" w:rsidR="0073266C" w:rsidRPr="0073266C" w:rsidRDefault="00B01862" w:rsidP="0073266C">
      <w:pPr>
        <w:spacing w:before="120" w:after="12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hAnsi="Segoe UI" w:cs="Segoe UI"/>
          <w:sz w:val="24"/>
          <w:szCs w:val="24"/>
          <w:lang w:val="en-US"/>
        </w:rPr>
        <w:t xml:space="preserve">Navedeni rokovi su početni </w:t>
      </w:r>
      <w:r w:rsidRPr="00D0638B">
        <w:rPr>
          <w:rFonts w:ascii="Segoe UI" w:hAnsi="Segoe UI" w:cs="Segoe UI"/>
          <w:sz w:val="24"/>
          <w:szCs w:val="24"/>
          <w:lang w:val="en-US"/>
        </w:rPr>
        <w:t>rokovi</w:t>
      </w:r>
      <w:r w:rsidR="005F2684" w:rsidRPr="00D0638B">
        <w:rPr>
          <w:rFonts w:ascii="Segoe UI" w:hAnsi="Segoe UI" w:cs="Segoe UI"/>
          <w:sz w:val="24"/>
          <w:szCs w:val="24"/>
          <w:lang w:val="en-US"/>
        </w:rPr>
        <w:t>, a</w:t>
      </w:r>
      <w:r w:rsidRPr="00D0638B">
        <w:rPr>
          <w:rFonts w:ascii="Segoe UI" w:hAnsi="Segoe UI" w:cs="Segoe UI"/>
          <w:sz w:val="24"/>
          <w:szCs w:val="24"/>
          <w:lang w:val="en-US"/>
        </w:rPr>
        <w:t xml:space="preserve"> nakon</w:t>
      </w:r>
      <w:r w:rsidRPr="00DC7523">
        <w:rPr>
          <w:rFonts w:ascii="Segoe UI" w:hAnsi="Segoe UI" w:cs="Segoe UI"/>
          <w:sz w:val="24"/>
          <w:szCs w:val="24"/>
          <w:lang w:val="en-US"/>
        </w:rPr>
        <w:t xml:space="preserve"> tog početnog roka svaki zainteresovani privredni subjekt može da podnese prijavu bilo kada tokom čitavog perioda trajanja SDN-a. </w:t>
      </w:r>
      <w:r w:rsidR="00A25E4B" w:rsidRPr="001F3D62">
        <w:rPr>
          <w:rFonts w:ascii="Segoe UI" w:hAnsi="Segoe UI" w:cs="Segoe UI"/>
          <w:sz w:val="24"/>
          <w:szCs w:val="24"/>
          <w:lang w:val="en-US"/>
        </w:rPr>
        <w:t>Dakle, nakon isteka tog roka, a u toku trajanja SDN</w:t>
      </w:r>
      <w:r w:rsidR="00961EAF" w:rsidRPr="001F3D62">
        <w:rPr>
          <w:rFonts w:ascii="Segoe UI" w:hAnsi="Segoe UI" w:cs="Segoe UI"/>
          <w:sz w:val="24"/>
          <w:szCs w:val="24"/>
          <w:lang w:val="en-US"/>
        </w:rPr>
        <w:t>-a</w:t>
      </w:r>
      <w:r w:rsidR="00A25E4B" w:rsidRPr="001F3D62">
        <w:rPr>
          <w:rFonts w:ascii="Segoe UI" w:hAnsi="Segoe UI" w:cs="Segoe UI"/>
          <w:sz w:val="24"/>
          <w:szCs w:val="24"/>
          <w:lang w:val="en-US"/>
        </w:rPr>
        <w:t xml:space="preserve"> ne postoje nikakvi dodatni rokovi za podnošenje prijava. Ovo navodi na zaključak da b</w:t>
      </w:r>
      <w:r w:rsidR="00961EAF" w:rsidRPr="001F3D62">
        <w:rPr>
          <w:rFonts w:ascii="Segoe UI" w:hAnsi="Segoe UI" w:cs="Segoe UI"/>
          <w:sz w:val="24"/>
          <w:szCs w:val="24"/>
          <w:lang w:val="en-US"/>
        </w:rPr>
        <w:t>l</w:t>
      </w:r>
      <w:r w:rsidR="00A25E4B" w:rsidRPr="001F3D62">
        <w:rPr>
          <w:rFonts w:ascii="Segoe UI" w:hAnsi="Segoe UI" w:cs="Segoe UI"/>
          <w:sz w:val="24"/>
          <w:szCs w:val="24"/>
          <w:lang w:val="en-US"/>
        </w:rPr>
        <w:t xml:space="preserve">agovremenost prijava u SDN-u nije od značaja. Naime, prijave koje su pristigle u okviru početnog roka su blagovremene, ali je i prijava koja je pristigla nakon isteka tog roka praktično </w:t>
      </w:r>
      <w:r w:rsidR="00A25E4B" w:rsidRPr="001F3D6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blagovremena jer je sistem sve vreme otvoren za podnošenje prijava.</w:t>
      </w:r>
      <w:r w:rsidR="00A25E4B" w:rsidRPr="0073266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</w:t>
      </w:r>
    </w:p>
    <w:p w14:paraId="7F6AA69A" w14:textId="067B8CDE" w:rsidR="00011164" w:rsidRPr="00B2660D" w:rsidRDefault="00011164" w:rsidP="0073266C">
      <w:pPr>
        <w:spacing w:before="120" w:after="120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val="en-US" w:eastAsia="sr-Latn-RS"/>
          <w14:ligatures w14:val="none"/>
        </w:rPr>
      </w:pPr>
      <w:r w:rsidRPr="0057035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Tokom</w:t>
      </w:r>
      <w:r w:rsidR="00961EAF" w:rsidRPr="0057035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gore navedenog </w:t>
      </w:r>
      <w:r w:rsidR="0073266C" w:rsidRPr="0057035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roka za podnošenje prijava zainteresovani privredni subjekti mogu da zatraže dodatna pojašnjenja konkursne dokumentacije u skladu sa čl</w:t>
      </w:r>
      <w:r w:rsidR="00EA6E5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ana</w:t>
      </w:r>
      <w:r w:rsidR="0073266C" w:rsidRPr="0057035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97. ZJN</w:t>
      </w:r>
      <w:r w:rsidR="00FA3D4D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-a</w:t>
      </w:r>
      <w:r w:rsidR="00961EAF" w:rsidRPr="0057035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. K</w:t>
      </w:r>
      <w:r w:rsidR="0073266C" w:rsidRPr="0057035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ako tokom početnog roka, tako i tokom čitavog perioda trajanja SDN-a</w:t>
      </w:r>
      <w:r w:rsidR="00961EAF" w:rsidRPr="0057035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, </w:t>
      </w:r>
      <w:r w:rsidR="00EA6E5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u skladu sa </w:t>
      </w:r>
      <w:r w:rsidR="00961EAF" w:rsidRPr="0057035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funkcional</w:t>
      </w:r>
      <w:r w:rsidR="004B09E0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n</w:t>
      </w:r>
      <w:r w:rsidR="00961EAF" w:rsidRPr="0057035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ostima Portala svaki zaiteresovani privredni subjekt može da zatraži dodatna pojašnjenja</w:t>
      </w:r>
      <w:r w:rsidR="0073266C" w:rsidRPr="0057035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.</w:t>
      </w:r>
    </w:p>
    <w:p w14:paraId="2BB05302" w14:textId="27E30505" w:rsidR="00B01862" w:rsidRPr="004810C7" w:rsidRDefault="00B01862" w:rsidP="00B7087D">
      <w:pPr>
        <w:pStyle w:val="ListParagraph"/>
        <w:numPr>
          <w:ilvl w:val="0"/>
          <w:numId w:val="6"/>
        </w:numPr>
        <w:jc w:val="both"/>
        <w:rPr>
          <w:rFonts w:ascii="Segoe UI" w:eastAsia="Times New Roman" w:hAnsi="Segoe UI" w:cs="Segoe UI"/>
          <w:b/>
          <w:bCs/>
          <w:kern w:val="0"/>
          <w:sz w:val="24"/>
          <w:szCs w:val="24"/>
          <w:lang w:val="sr-Cyrl-RS" w:eastAsia="sr-Latn-RS"/>
          <w14:ligatures w14:val="none"/>
        </w:rPr>
      </w:pPr>
      <w:r w:rsidRPr="004810C7">
        <w:rPr>
          <w:rFonts w:ascii="Segoe UI" w:eastAsia="Times New Roman" w:hAnsi="Segoe UI" w:cs="Segoe UI"/>
          <w:b/>
          <w:bCs/>
          <w:kern w:val="0"/>
          <w:sz w:val="24"/>
          <w:szCs w:val="24"/>
          <w:lang w:val="sr-Cyrl-RS" w:eastAsia="sr-Latn-RS"/>
          <w14:ligatures w14:val="none"/>
        </w:rPr>
        <w:t xml:space="preserve">Sadržina </w:t>
      </w:r>
      <w:r w:rsidRPr="004810C7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sr-Latn-RS"/>
          <w14:ligatures w14:val="none"/>
        </w:rPr>
        <w:t xml:space="preserve">konkursne </w:t>
      </w:r>
      <w:r w:rsidRPr="004810C7">
        <w:rPr>
          <w:rFonts w:ascii="Segoe UI" w:eastAsia="Times New Roman" w:hAnsi="Segoe UI" w:cs="Segoe UI"/>
          <w:b/>
          <w:bCs/>
          <w:kern w:val="0"/>
          <w:sz w:val="24"/>
          <w:szCs w:val="24"/>
          <w:lang w:val="sr-Cyrl-RS" w:eastAsia="sr-Latn-RS"/>
          <w14:ligatures w14:val="none"/>
        </w:rPr>
        <w:t>dokumentacije za prvu fazu SDN</w:t>
      </w:r>
      <w:r w:rsidR="00EB25A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sr-Latn-RS"/>
          <w14:ligatures w14:val="none"/>
        </w:rPr>
        <w:t>-a</w:t>
      </w:r>
    </w:p>
    <w:p w14:paraId="48F75A0D" w14:textId="77777777" w:rsidR="00A368E8" w:rsidRPr="00DC7523" w:rsidRDefault="00A368E8" w:rsidP="00A368E8">
      <w:pPr>
        <w:pStyle w:val="ListParagraph"/>
        <w:jc w:val="both"/>
        <w:rPr>
          <w:rFonts w:ascii="Segoe UI" w:eastAsia="Times New Roman" w:hAnsi="Segoe UI" w:cs="Segoe UI"/>
          <w:b/>
          <w:bCs/>
          <w:kern w:val="0"/>
          <w:lang w:val="sr-Cyrl-RS" w:eastAsia="sr-Latn-RS"/>
          <w14:ligatures w14:val="none"/>
        </w:rPr>
      </w:pPr>
    </w:p>
    <w:p w14:paraId="3F115349" w14:textId="2EE55C5B" w:rsidR="00AA59A3" w:rsidRPr="00DC7523" w:rsidRDefault="00A368E8" w:rsidP="00B7087D">
      <w:pPr>
        <w:pStyle w:val="ListParagraph"/>
        <w:numPr>
          <w:ilvl w:val="0"/>
          <w:numId w:val="12"/>
        </w:numPr>
        <w:jc w:val="both"/>
        <w:rPr>
          <w:rFonts w:ascii="Segoe UI" w:eastAsia="Times New Roman" w:hAnsi="Segoe UI" w:cs="Segoe UI"/>
          <w:b/>
          <w:bCs/>
          <w:i/>
          <w:kern w:val="0"/>
          <w:sz w:val="24"/>
          <w:szCs w:val="24"/>
          <w:u w:val="single"/>
          <w:lang w:val="sr-Cyrl-RS" w:eastAsia="sr-Latn-RS"/>
          <w14:ligatures w14:val="none"/>
        </w:rPr>
      </w:pP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Informacije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o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načinu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vođenja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SDN</w:t>
      </w:r>
      <w:r w:rsidR="005A7C5D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eastAsia="sr-Latn-RS"/>
          <w14:ligatures w14:val="none"/>
        </w:rPr>
        <w:t>-a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 </w:t>
      </w:r>
    </w:p>
    <w:p w14:paraId="16B4DE54" w14:textId="139D1B3F" w:rsidR="00AA59A3" w:rsidRDefault="005A7C5D" w:rsidP="00AA59A3">
      <w:pPr>
        <w:jc w:val="both"/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</w:pPr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U skladu sa članom </w:t>
      </w:r>
      <w:r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8. stav 2. tačka 4) Pravilnika</w:t>
      </w:r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, naručilac je dužan da pripremi ovaj dokument i koristeći funkcionalnosti Portala učita ga na odgovarajućem koraku. Navedeni dokument treba da pruži sve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potrebne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informacije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491BA6"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zainteresovanim privrednim subjektama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u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vezi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sa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SDN</w:t>
      </w:r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-om, </w:t>
      </w:r>
      <w:r w:rsidR="00491BA6"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kao što </w:t>
      </w:r>
      <w:r w:rsidR="008B5D44"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su</w:t>
      </w:r>
      <w:r w:rsidR="005F2684"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:</w:t>
      </w:r>
      <w:r w:rsidR="00491BA6"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kako se sistem vodi,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koliko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traje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SDN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,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da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li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će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naručilac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eventualno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da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koristi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duži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rok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za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ocenu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prijava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,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kako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se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u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SDN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uklјučuju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novi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kandidati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,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kao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i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sve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druge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potrebne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informacije</w:t>
      </w:r>
      <w:r w:rsidR="008B5D44"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.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B01862"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Primer ovog dokumenta </w:t>
      </w:r>
      <w:r w:rsidR="00B01862" w:rsidRPr="00BB1D7B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dat je </w:t>
      </w:r>
      <w:r w:rsidR="00F83226" w:rsidRPr="00BB1D7B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u </w:t>
      </w:r>
      <w:r w:rsidR="00BB1D7B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P</w:t>
      </w:r>
      <w:r w:rsidR="00F83226" w:rsidRPr="00BB1D7B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rilogu ovog</w:t>
      </w:r>
      <w:r w:rsidR="00B01862" w:rsidRPr="00BB1D7B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uputstva</w:t>
      </w:r>
      <w:r w:rsidR="00AA59A3" w:rsidRPr="00BB1D7B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.</w:t>
      </w:r>
    </w:p>
    <w:p w14:paraId="33C208F2" w14:textId="16AA25CE" w:rsidR="00AA59A3" w:rsidRPr="00DC7523" w:rsidRDefault="00A368E8" w:rsidP="00B7087D">
      <w:pPr>
        <w:pStyle w:val="ListParagraph"/>
        <w:numPr>
          <w:ilvl w:val="0"/>
          <w:numId w:val="8"/>
        </w:numPr>
        <w:jc w:val="both"/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</w:pP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Opšti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podaci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o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predmetu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nabavke</w:t>
      </w:r>
    </w:p>
    <w:p w14:paraId="35DDE9E1" w14:textId="77C8F197" w:rsidR="00AA59A3" w:rsidRPr="00DC7523" w:rsidRDefault="00755D07" w:rsidP="00975563">
      <w:pPr>
        <w:spacing w:after="120"/>
        <w:jc w:val="both"/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</w:pPr>
      <w:r w:rsidRPr="0097556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Ovaj dokument treba da </w:t>
      </w:r>
      <w:r w:rsidRPr="0097556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sadrži naziv predmeta javne nabavke, </w:t>
      </w:r>
      <w:r w:rsidR="00975563" w:rsidRPr="00975563">
        <w:rPr>
          <w:rFonts w:ascii="Segoe UI" w:eastAsia="Times New Roman" w:hAnsi="Segoe UI" w:cs="Segoe UI"/>
          <w:iCs/>
          <w:kern w:val="0"/>
          <w:sz w:val="24"/>
          <w:szCs w:val="24"/>
          <w:lang w:val="sr-Cyrl-RS" w:eastAsia="sr-Latn-RS"/>
          <w14:ligatures w14:val="none"/>
        </w:rPr>
        <w:t>referentni broj odnosno broj javne nabavke,</w:t>
      </w:r>
      <w:r w:rsidR="00975563" w:rsidRPr="00A9622E">
        <w:rPr>
          <w:rFonts w:ascii="Segoe UI" w:eastAsia="Times New Roman" w:hAnsi="Segoe UI" w:cs="Segoe UI"/>
          <w:i/>
          <w:i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Pr="0097556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kao i naziv svake </w:t>
      </w:r>
      <w:r w:rsidR="004E4BCB" w:rsidRPr="0097556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kategorije</w:t>
      </w:r>
      <w:r w:rsidRPr="0097556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, ako je </w:t>
      </w:r>
      <w:r w:rsidR="004E4BCB" w:rsidRPr="0097556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SDN podeljen kategorije</w:t>
      </w:r>
      <w:r w:rsidRPr="0097556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, ali i druge podatke i napomene, ukoliko ih naručilac smatra pogodnim. Može se kreirati putem Portala, na osnovu podataka koje naručilac unosi na odgovarajućim koracima </w:t>
      </w:r>
      <w:r w:rsidRPr="0097556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lastRenderedPageBreak/>
        <w:t xml:space="preserve">prilikom kreiranja konkursne dokumentacije na Portalu. Naručilac može i da </w:t>
      </w:r>
      <w:r w:rsidR="00EA6E5C" w:rsidRPr="0097556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odvojeno</w:t>
      </w:r>
      <w:r w:rsidRPr="0097556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pr</w:t>
      </w:r>
      <w:r w:rsidR="0095111C" w:rsidRPr="0097556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i</w:t>
      </w:r>
      <w:r w:rsidRPr="0097556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premi ovaj dokument i učita ga na Portal, ali je mnogo funkcionalnije i efikasnije da koristi mogućnost kreiranja putem Portala. </w:t>
      </w:r>
    </w:p>
    <w:p w14:paraId="20926C5E" w14:textId="77777777" w:rsidR="00D022EE" w:rsidRPr="00DC7523" w:rsidRDefault="00D022EE" w:rsidP="00D022EE">
      <w:pPr>
        <w:pStyle w:val="ListParagraph"/>
        <w:numPr>
          <w:ilvl w:val="0"/>
          <w:numId w:val="10"/>
        </w:numPr>
        <w:jc w:val="both"/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</w:pP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Opis kriterijuma za kvalitativni izbor privrednog subjekta sa uputstvima</w:t>
      </w:r>
    </w:p>
    <w:p w14:paraId="2C541A9B" w14:textId="77777777" w:rsidR="00D022EE" w:rsidRPr="00DC7523" w:rsidRDefault="00D022EE" w:rsidP="00D022EE">
      <w:pPr>
        <w:pStyle w:val="BodyText"/>
        <w:spacing w:before="100" w:beforeAutospacing="1" w:after="100" w:afterAutospacing="1"/>
        <w:jc w:val="both"/>
        <w:rPr>
          <w:rFonts w:ascii="Segoe UI" w:hAnsi="Segoe UI" w:cs="Segoe UI"/>
          <w:lang w:val="sr-Cyrl-RS" w:eastAsia="sr-Latn-RS"/>
        </w:rPr>
      </w:pPr>
      <w:r w:rsidRPr="00E9561E">
        <w:rPr>
          <w:rFonts w:ascii="Segoe UI" w:hAnsi="Segoe UI" w:cs="Segoe UI"/>
          <w:lang w:val="sr-Latn-RS" w:eastAsia="sr-Latn-RS"/>
        </w:rPr>
        <w:t xml:space="preserve">Kvalifikaciju kandidata naručilac vrši na osnovu kriterijuma za kvalitativni izbor privrednog subjekta koje određuje u konkursnoj dokumentaciji. Naime, naručilac </w:t>
      </w:r>
      <w:r w:rsidRPr="00DC7523">
        <w:rPr>
          <w:rFonts w:ascii="Segoe UI" w:hAnsi="Segoe UI" w:cs="Segoe UI"/>
          <w:lang w:val="sr-Latn-RS" w:eastAsia="sr-Latn-RS"/>
        </w:rPr>
        <w:t>određuje</w:t>
      </w:r>
      <w:r w:rsidRPr="00E9561E">
        <w:rPr>
          <w:rFonts w:ascii="Segoe UI" w:hAnsi="Segoe UI" w:cs="Segoe UI"/>
          <w:lang w:val="sr-Latn-RS" w:eastAsia="sr-Latn-RS"/>
        </w:rPr>
        <w:t xml:space="preserve"> osnov</w:t>
      </w:r>
      <w:r w:rsidRPr="00DC7523">
        <w:rPr>
          <w:rFonts w:ascii="Segoe UI" w:hAnsi="Segoe UI" w:cs="Segoe UI"/>
          <w:lang w:val="sr-Latn-RS" w:eastAsia="sr-Latn-RS"/>
        </w:rPr>
        <w:t>e</w:t>
      </w:r>
      <w:r w:rsidRPr="00E9561E">
        <w:rPr>
          <w:rFonts w:ascii="Segoe UI" w:hAnsi="Segoe UI" w:cs="Segoe UI"/>
          <w:lang w:val="sr-Latn-RS" w:eastAsia="sr-Latn-RS"/>
        </w:rPr>
        <w:t xml:space="preserve"> za isključenje privrednog subjekta (čl. 111. i 112. ZJN</w:t>
      </w:r>
      <w:r>
        <w:rPr>
          <w:rFonts w:ascii="Segoe UI" w:hAnsi="Segoe UI" w:cs="Segoe UI"/>
          <w:lang w:val="sr-Latn-RS" w:eastAsia="sr-Latn-RS"/>
        </w:rPr>
        <w:t>-a</w:t>
      </w:r>
      <w:r w:rsidRPr="00E9561E">
        <w:rPr>
          <w:rFonts w:ascii="Segoe UI" w:hAnsi="Segoe UI" w:cs="Segoe UI"/>
          <w:lang w:val="sr-Latn-RS" w:eastAsia="sr-Latn-RS"/>
        </w:rPr>
        <w:t>) i kriterijume za izbor privrednog subjekta (čl. 114. ZJN</w:t>
      </w:r>
      <w:r>
        <w:rPr>
          <w:rFonts w:ascii="Segoe UI" w:hAnsi="Segoe UI" w:cs="Segoe UI"/>
          <w:lang w:val="sr-Latn-RS" w:eastAsia="sr-Latn-RS"/>
        </w:rPr>
        <w:t>-a</w:t>
      </w:r>
      <w:r w:rsidRPr="00E9561E">
        <w:rPr>
          <w:rFonts w:ascii="Segoe UI" w:hAnsi="Segoe UI" w:cs="Segoe UI"/>
          <w:lang w:val="sr-Latn-RS" w:eastAsia="sr-Latn-RS"/>
        </w:rPr>
        <w:t xml:space="preserve">) koje </w:t>
      </w:r>
      <w:r w:rsidRPr="00DC7523">
        <w:rPr>
          <w:rFonts w:ascii="Segoe UI" w:hAnsi="Segoe UI" w:cs="Segoe UI"/>
          <w:lang w:val="sr-Latn-RS" w:eastAsia="sr-Latn-RS"/>
        </w:rPr>
        <w:t>proceni</w:t>
      </w:r>
      <w:r w:rsidRPr="00E9561E">
        <w:rPr>
          <w:rFonts w:ascii="Segoe UI" w:hAnsi="Segoe UI" w:cs="Segoe UI"/>
          <w:lang w:val="sr-Latn-RS" w:eastAsia="sr-Latn-RS"/>
        </w:rPr>
        <w:t xml:space="preserve"> da su neophodni za realizaciju predmeta nabavke</w:t>
      </w:r>
      <w:r w:rsidRPr="00DC7523">
        <w:rPr>
          <w:rFonts w:ascii="Segoe UI" w:hAnsi="Segoe UI" w:cs="Segoe UI"/>
          <w:lang w:val="sr-Latn-RS" w:eastAsia="sr-Latn-RS"/>
        </w:rPr>
        <w:t xml:space="preserve"> i unošenjem relevantnih podataka u vezi sa utvrđenim kriterijumima na Portalu </w:t>
      </w:r>
      <w:r w:rsidRPr="00E9561E">
        <w:rPr>
          <w:rFonts w:ascii="Segoe UI" w:hAnsi="Segoe UI" w:cs="Segoe UI"/>
          <w:lang w:val="sr-Latn-RS" w:eastAsia="sr-Latn-RS"/>
        </w:rPr>
        <w:t>kreira dokument ,,</w:t>
      </w:r>
      <w:r w:rsidRPr="00BB1D7B">
        <w:rPr>
          <w:rFonts w:ascii="Segoe UI" w:hAnsi="Segoe UI" w:cs="Segoe UI"/>
          <w:lang w:val="sr-Latn-RS" w:eastAsia="sr-Latn-RS"/>
        </w:rPr>
        <w:t>Opis k</w:t>
      </w:r>
      <w:r w:rsidRPr="00E9561E">
        <w:rPr>
          <w:rFonts w:ascii="Segoe UI" w:hAnsi="Segoe UI" w:cs="Segoe UI"/>
          <w:lang w:val="sr-Latn-RS" w:eastAsia="sr-Latn-RS"/>
        </w:rPr>
        <w:t>riterijum</w:t>
      </w:r>
      <w:r w:rsidRPr="00BB1D7B">
        <w:rPr>
          <w:rFonts w:ascii="Segoe UI" w:hAnsi="Segoe UI" w:cs="Segoe UI"/>
          <w:lang w:val="sr-Latn-RS" w:eastAsia="sr-Latn-RS"/>
        </w:rPr>
        <w:t>a</w:t>
      </w:r>
      <w:r w:rsidRPr="00E9561E">
        <w:rPr>
          <w:rFonts w:ascii="Segoe UI" w:hAnsi="Segoe UI" w:cs="Segoe UI"/>
          <w:lang w:val="sr-Latn-RS" w:eastAsia="sr-Latn-RS"/>
        </w:rPr>
        <w:t xml:space="preserve"> za kvalitativni izbor privrednog subjekta </w:t>
      </w:r>
      <w:r w:rsidRPr="00BB1D7B">
        <w:rPr>
          <w:rFonts w:ascii="Segoe UI" w:hAnsi="Segoe UI" w:cs="Segoe UI"/>
          <w:lang w:val="sr-Latn-RS" w:eastAsia="sr-Latn-RS"/>
        </w:rPr>
        <w:t xml:space="preserve">sa </w:t>
      </w:r>
      <w:r w:rsidRPr="00E9561E">
        <w:rPr>
          <w:rFonts w:ascii="Segoe UI" w:hAnsi="Segoe UI" w:cs="Segoe UI"/>
          <w:lang w:val="sr-Latn-RS" w:eastAsia="sr-Latn-RS"/>
        </w:rPr>
        <w:t>uputstv</w:t>
      </w:r>
      <w:r w:rsidRPr="00BB1D7B">
        <w:rPr>
          <w:rFonts w:ascii="Segoe UI" w:hAnsi="Segoe UI" w:cs="Segoe UI"/>
          <w:lang w:val="sr-Latn-RS" w:eastAsia="sr-Latn-RS"/>
        </w:rPr>
        <w:t>ima</w:t>
      </w:r>
      <w:r w:rsidRPr="00E9561E">
        <w:rPr>
          <w:rFonts w:ascii="Segoe UI" w:hAnsi="Segoe UI" w:cs="Segoe UI"/>
          <w:lang w:val="sr-Latn-RS" w:eastAsia="sr-Latn-RS"/>
        </w:rPr>
        <w:t>“. Na osnovu tog dokumenta podnosilac prijave kreira Izjavu o ispunjenosti kriterijuma za kvalitativni izbor privrednog subjekta, na osnovu koje se vrši ocena prijava. Ako je naručilac podelio SDN u kategorije dobara, usluga ili radova dužan je da u dokumentaciji o nabavci odredi kriterijume za kvalitativni izbor privrednog subjekta za svaku kategoriju</w:t>
      </w:r>
      <w:r w:rsidRPr="001F3D62">
        <w:rPr>
          <w:rFonts w:ascii="Segoe UI" w:hAnsi="Segoe UI" w:cs="Segoe UI"/>
        </w:rPr>
        <w:t>.</w:t>
      </w:r>
    </w:p>
    <w:p w14:paraId="1D623EE6" w14:textId="379F3F17" w:rsidR="00AA59A3" w:rsidRPr="00DC7523" w:rsidRDefault="00A368E8" w:rsidP="00B7087D">
      <w:pPr>
        <w:pStyle w:val="ListParagraph"/>
        <w:numPr>
          <w:ilvl w:val="0"/>
          <w:numId w:val="9"/>
        </w:numPr>
        <w:jc w:val="both"/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</w:pP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Opis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i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specifikacija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predmeta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,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uslovi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isporuke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ili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izvršenja</w:t>
      </w:r>
    </w:p>
    <w:p w14:paraId="2A59F741" w14:textId="7561A2DD" w:rsidR="00670867" w:rsidRPr="00DC7523" w:rsidRDefault="00670867" w:rsidP="00670867">
      <w:pPr>
        <w:pStyle w:val="NormalWeb"/>
        <w:jc w:val="both"/>
        <w:rPr>
          <w:rFonts w:ascii="Segoe UI" w:hAnsi="Segoe UI" w:cs="Segoe UI"/>
        </w:rPr>
      </w:pPr>
      <w:r w:rsidRPr="00DC7523">
        <w:rPr>
          <w:rFonts w:ascii="Segoe UI" w:hAnsi="Segoe UI" w:cs="Segoe UI"/>
        </w:rPr>
        <w:t>Nar</w:t>
      </w:r>
      <w:r w:rsidR="005F2684" w:rsidRPr="00DC7523">
        <w:rPr>
          <w:rFonts w:ascii="Segoe UI" w:hAnsi="Segoe UI" w:cs="Segoe UI"/>
        </w:rPr>
        <w:t>u</w:t>
      </w:r>
      <w:r w:rsidRPr="00DC7523">
        <w:rPr>
          <w:rFonts w:ascii="Segoe UI" w:hAnsi="Segoe UI" w:cs="Segoe UI"/>
        </w:rPr>
        <w:t xml:space="preserve">čilac u ovom dokumentu daje opšti </w:t>
      </w:r>
      <w:r w:rsidR="00782116" w:rsidRPr="00DC7523">
        <w:rPr>
          <w:rFonts w:ascii="Segoe UI" w:hAnsi="Segoe UI" w:cs="Segoe UI"/>
        </w:rPr>
        <w:t>opis</w:t>
      </w:r>
      <w:r w:rsidRPr="00DC7523">
        <w:rPr>
          <w:rFonts w:ascii="Segoe UI" w:hAnsi="Segoe UI" w:cs="Segoe UI"/>
        </w:rPr>
        <w:t xml:space="preserve"> predmeta nabavke</w:t>
      </w:r>
      <w:r w:rsidR="002456AD">
        <w:rPr>
          <w:rFonts w:ascii="Segoe UI" w:hAnsi="Segoe UI" w:cs="Segoe UI"/>
        </w:rPr>
        <w:t xml:space="preserve">. </w:t>
      </w:r>
      <w:r w:rsidRPr="00DC7523">
        <w:rPr>
          <w:rFonts w:ascii="Segoe UI" w:hAnsi="Segoe UI" w:cs="Segoe UI"/>
        </w:rPr>
        <w:t xml:space="preserve">Cilj ovog </w:t>
      </w:r>
      <w:r w:rsidR="00782116" w:rsidRPr="00DC7523">
        <w:rPr>
          <w:rFonts w:ascii="Segoe UI" w:hAnsi="Segoe UI" w:cs="Segoe UI"/>
        </w:rPr>
        <w:t>opisa</w:t>
      </w:r>
      <w:r w:rsidRPr="00DC7523">
        <w:rPr>
          <w:rFonts w:ascii="Segoe UI" w:hAnsi="Segoe UI" w:cs="Segoe UI"/>
        </w:rPr>
        <w:t xml:space="preserve"> je da </w:t>
      </w:r>
      <w:r w:rsidR="00782116" w:rsidRPr="00DC7523">
        <w:rPr>
          <w:rFonts w:ascii="Segoe UI" w:hAnsi="Segoe UI" w:cs="Segoe UI"/>
        </w:rPr>
        <w:t>zainteresovanim privrednim subjektima</w:t>
      </w:r>
      <w:r w:rsidRPr="00DC7523">
        <w:rPr>
          <w:rFonts w:ascii="Segoe UI" w:hAnsi="Segoe UI" w:cs="Segoe UI"/>
        </w:rPr>
        <w:t xml:space="preserve"> pruži </w:t>
      </w:r>
      <w:r w:rsidR="002456AD">
        <w:rPr>
          <w:rFonts w:ascii="Segoe UI" w:hAnsi="Segoe UI" w:cs="Segoe UI"/>
        </w:rPr>
        <w:t>informacije</w:t>
      </w:r>
      <w:r w:rsidRPr="00DC7523">
        <w:rPr>
          <w:rFonts w:ascii="Segoe UI" w:hAnsi="Segoe UI" w:cs="Segoe UI"/>
        </w:rPr>
        <w:t xml:space="preserve"> o tome šta će biti obuhvaćeno nabavkom</w:t>
      </w:r>
      <w:r w:rsidR="002456AD">
        <w:rPr>
          <w:rFonts w:ascii="Segoe UI" w:hAnsi="Segoe UI" w:cs="Segoe UI"/>
        </w:rPr>
        <w:t>, ali se ne</w:t>
      </w:r>
      <w:r w:rsidRPr="00DC7523">
        <w:rPr>
          <w:rFonts w:ascii="Segoe UI" w:hAnsi="Segoe UI" w:cs="Segoe UI"/>
        </w:rPr>
        <w:t xml:space="preserve"> ulazi u detalje, već se postavljaju osnovni zahtevi i </w:t>
      </w:r>
      <w:r w:rsidR="002456AD">
        <w:rPr>
          <w:rFonts w:ascii="Segoe UI" w:hAnsi="Segoe UI" w:cs="Segoe UI"/>
        </w:rPr>
        <w:t xml:space="preserve">ključne </w:t>
      </w:r>
      <w:r w:rsidRPr="00DC7523">
        <w:rPr>
          <w:rFonts w:ascii="Segoe UI" w:hAnsi="Segoe UI" w:cs="Segoe UI"/>
        </w:rPr>
        <w:t xml:space="preserve">karakteristike predmeta nabavke. U narednoj fazi, kada </w:t>
      </w:r>
      <w:r w:rsidR="008B5D44" w:rsidRPr="00DC7523">
        <w:rPr>
          <w:rFonts w:ascii="Segoe UI" w:hAnsi="Segoe UI" w:cs="Segoe UI"/>
        </w:rPr>
        <w:t>se sprovodi</w:t>
      </w:r>
      <w:r w:rsidRPr="00DC7523">
        <w:rPr>
          <w:rFonts w:ascii="Segoe UI" w:hAnsi="Segoe UI" w:cs="Segoe UI"/>
        </w:rPr>
        <w:t xml:space="preserve"> konkretna pojedinačna nabavka u okviru SDN-a, naručilac će preciznije definisati </w:t>
      </w:r>
      <w:r w:rsidR="00782116" w:rsidRPr="00DC7523">
        <w:rPr>
          <w:rFonts w:ascii="Segoe UI" w:hAnsi="Segoe UI" w:cs="Segoe UI"/>
        </w:rPr>
        <w:t>tehničke specifikacije</w:t>
      </w:r>
      <w:r w:rsidRPr="00DC7523">
        <w:rPr>
          <w:rFonts w:ascii="Segoe UI" w:hAnsi="Segoe UI" w:cs="Segoe UI"/>
        </w:rPr>
        <w:t xml:space="preserve">. </w:t>
      </w:r>
      <w:r w:rsidR="002456AD">
        <w:rPr>
          <w:rFonts w:ascii="Segoe UI" w:hAnsi="Segoe UI" w:cs="Segoe UI"/>
        </w:rPr>
        <w:t xml:space="preserve">Primera radi, u slučaju nabavke kancelarijskog materijala, dovoljno je da pobroji kancelarijski materijal (olovke, heftalice, spajalice, </w:t>
      </w:r>
      <w:r w:rsidR="00833572">
        <w:rPr>
          <w:rFonts w:ascii="Segoe UI" w:hAnsi="Segoe UI" w:cs="Segoe UI"/>
        </w:rPr>
        <w:t xml:space="preserve">sveske, </w:t>
      </w:r>
      <w:r w:rsidR="002456AD">
        <w:rPr>
          <w:rFonts w:ascii="Segoe UI" w:hAnsi="Segoe UI" w:cs="Segoe UI"/>
        </w:rPr>
        <w:t>fascikle itd.), dok će precizne karakteristike definisati u drugoj fazi postupka.</w:t>
      </w:r>
    </w:p>
    <w:p w14:paraId="7FABADA8" w14:textId="01ACFEC2" w:rsidR="00AA59A3" w:rsidRPr="00DC7523" w:rsidRDefault="00A368E8" w:rsidP="00B7087D">
      <w:pPr>
        <w:pStyle w:val="ListParagraph"/>
        <w:numPr>
          <w:ilvl w:val="0"/>
          <w:numId w:val="11"/>
        </w:numPr>
        <w:spacing w:after="150"/>
        <w:jc w:val="both"/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</w:pP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Kriterijumi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za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dodelu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ugovora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</w:p>
    <w:p w14:paraId="783201A9" w14:textId="0C925539" w:rsidR="00AA59A3" w:rsidRPr="00992460" w:rsidRDefault="00115D75" w:rsidP="00AA59A3">
      <w:pPr>
        <w:spacing w:after="150"/>
        <w:jc w:val="both"/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U prvoj fazi postupka naručilac određuje i kriterijume za dodelu ugovora</w:t>
      </w:r>
      <w:r w:rsidR="009B677F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u skladu sa čl. 132. - 134. ZJN-a</w:t>
      </w:r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, ali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se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8C1F78"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oni određuju i u drugoj fazi postupka prilikom slanja poziva kvalifikovanim kandidatima za </w:t>
      </w:r>
      <w:r w:rsidR="008C1F7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podnošenje ponuda</w:t>
      </w:r>
      <w:r w:rsidR="008C1F78"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, kada se </w:t>
      </w:r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m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ogu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preciznije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odrediti</w:t>
      </w:r>
      <w:r w:rsidR="008C1F78"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u odno</w:t>
      </w:r>
      <w:r w:rsidR="00833572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s</w:t>
      </w:r>
      <w:r w:rsidR="008C1F78"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u na predmet pojedinačnog ugovora</w:t>
      </w:r>
      <w:r w:rsidR="00570352">
        <w:rPr>
          <w:rStyle w:val="FootnoteReference"/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footnoteReference w:id="17"/>
      </w:r>
      <w:r w:rsidR="008C1F78"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. </w:t>
      </w:r>
      <w:r w:rsidR="00992460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Naime, i</w:t>
      </w:r>
      <w:r w:rsidR="00992460" w:rsidRPr="00992460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majući u vidu da se ponude podnose u drugoj fazi</w:t>
      </w:r>
      <w:r w:rsidR="00992460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postupka i da se ponude tada ocenjuju, kriterijumi</w:t>
      </w:r>
      <w:r w:rsidR="009B677F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za dodelu ugovora</w:t>
      </w:r>
      <w:r w:rsidR="00992460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moraju biti </w:t>
      </w:r>
      <w:r w:rsidR="00992460" w:rsidRPr="00992460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sastavni deo druge faze postupka</w:t>
      </w:r>
      <w:r w:rsidR="00992460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, ali da bi zainteresovani privredni subjekti</w:t>
      </w:r>
      <w:r w:rsidR="00992460" w:rsidRPr="00992460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bili unapred upoznati </w:t>
      </w:r>
      <w:r w:rsidR="00992460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na koji način će se ocenjivati ponude i ujedno </w:t>
      </w:r>
      <w:r w:rsidR="009B677F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da bi se </w:t>
      </w:r>
      <w:r w:rsidR="00992460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očuvao integritet postupka</w:t>
      </w:r>
      <w:r w:rsidR="00992460" w:rsidRPr="00992460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, potrebno je da </w:t>
      </w:r>
      <w:r w:rsidR="00992460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se</w:t>
      </w:r>
      <w:r w:rsidR="00992460" w:rsidRPr="00992460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</w:t>
      </w:r>
      <w:r w:rsidR="009B677F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ovi kriterijumi definišu i </w:t>
      </w:r>
      <w:r w:rsidR="00992460" w:rsidRPr="00992460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u prvoj fazi</w:t>
      </w:r>
      <w:r w:rsidR="009B677F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postupka</w:t>
      </w:r>
      <w:r w:rsidR="00992460" w:rsidRPr="00992460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. </w:t>
      </w:r>
      <w:r w:rsidR="00E9561E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U slučaju podele </w:t>
      </w:r>
      <w:r w:rsidR="00E9561E" w:rsidRPr="00E9561E">
        <w:rPr>
          <w:rFonts w:ascii="Segoe UI" w:hAnsi="Segoe UI" w:cs="Segoe UI"/>
          <w:lang w:eastAsia="sr-Latn-RS"/>
        </w:rPr>
        <w:t>SDN</w:t>
      </w:r>
      <w:r w:rsidR="00E9561E">
        <w:rPr>
          <w:rFonts w:ascii="Segoe UI" w:hAnsi="Segoe UI" w:cs="Segoe UI"/>
          <w:lang w:eastAsia="sr-Latn-RS"/>
        </w:rPr>
        <w:t>-a</w:t>
      </w:r>
      <w:r w:rsidR="00E9561E" w:rsidRPr="00E9561E">
        <w:rPr>
          <w:rFonts w:ascii="Segoe UI" w:hAnsi="Segoe UI" w:cs="Segoe UI"/>
          <w:lang w:eastAsia="sr-Latn-RS"/>
        </w:rPr>
        <w:t xml:space="preserve"> u kategorije </w:t>
      </w:r>
      <w:r w:rsidR="00E9561E">
        <w:rPr>
          <w:rFonts w:ascii="Segoe UI" w:hAnsi="Segoe UI" w:cs="Segoe UI"/>
          <w:lang w:eastAsia="sr-Latn-RS"/>
        </w:rPr>
        <w:t>naručilac precizira kriterijume za dodelu ugovora za svaku kategoriju.</w:t>
      </w:r>
    </w:p>
    <w:p w14:paraId="054F2605" w14:textId="77777777" w:rsidR="00570352" w:rsidRPr="00DC7523" w:rsidRDefault="00570352" w:rsidP="00570352">
      <w:pPr>
        <w:pStyle w:val="ListParagraph"/>
        <w:numPr>
          <w:ilvl w:val="0"/>
          <w:numId w:val="16"/>
        </w:numPr>
        <w:spacing w:after="150"/>
        <w:jc w:val="both"/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</w:pP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lastRenderedPageBreak/>
        <w:t>Obrazac troškova pripreme ponude</w:t>
      </w:r>
    </w:p>
    <w:p w14:paraId="487240EB" w14:textId="3CDC0B7E" w:rsidR="00570352" w:rsidRPr="00435ECF" w:rsidRDefault="00570352" w:rsidP="00570352">
      <w:pPr>
        <w:spacing w:after="150"/>
        <w:jc w:val="both"/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</w:pPr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U skladu sa članom 3</w:t>
      </w:r>
      <w:r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. Pravilnika ovaj obrazac je sastavni deo konkursne dokumentacije u restriktivnom postupku</w:t>
      </w:r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.</w:t>
      </w:r>
      <w:r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Iako je njegova uloga </w:t>
      </w:r>
      <w:r w:rsidR="00433170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pre svega </w:t>
      </w:r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bitna tek u fazi kada se podnose ponude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, s obzirom da se odnosi na mogućnost nadoknade troškova izrade 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uzorka</w:t>
      </w:r>
      <w:r w:rsidR="00435ECF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ili</w:t>
      </w:r>
      <w:r w:rsidR="00435ECF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modela</w:t>
      </w:r>
      <w:r w:rsidR="00435ECF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, 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ako</w:t>
      </w:r>
      <w:r w:rsidR="00435ECF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su</w:t>
      </w:r>
      <w:r w:rsidR="00435ECF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izrađeni</w:t>
      </w:r>
      <w:r w:rsidR="00435ECF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u</w:t>
      </w:r>
      <w:r w:rsidR="00435ECF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skladu</w:t>
      </w:r>
      <w:r w:rsidR="00435ECF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sa</w:t>
      </w:r>
      <w:r w:rsidR="00435ECF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tehničkim</w:t>
      </w:r>
      <w:r w:rsidR="00435ECF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specifikacijama</w:t>
      </w:r>
      <w:r w:rsidR="00435ECF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naručioca</w:t>
      </w:r>
      <w:r w:rsidR="00435ECF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i</w:t>
      </w:r>
      <w:r w:rsidR="00435ECF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troškov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a</w:t>
      </w:r>
      <w:r w:rsidR="00435ECF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pribavlјanja</w:t>
      </w:r>
      <w:r w:rsidR="00435ECF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sredstava</w:t>
      </w:r>
      <w:r w:rsidR="00435ECF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obezbeđenj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a, što uglavnom nastaje u drugoj fazi postupka kada se podnose ponude</w:t>
      </w:r>
      <w:r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, </w:t>
      </w:r>
      <w:r w:rsidR="00433170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ipak se i</w:t>
      </w:r>
      <w:r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u prvoj fazi </w:t>
      </w:r>
      <w:r w:rsidR="00433170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može </w:t>
      </w:r>
      <w:r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pripremiti</w:t>
      </w:r>
      <w:r w:rsidR="00435ECF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ukoliko može imati svrhu</w:t>
      </w:r>
      <w:r w:rsidR="00433170" w:rsidRPr="00435ECF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.   </w:t>
      </w:r>
    </w:p>
    <w:p w14:paraId="40C3A22E" w14:textId="77777777" w:rsidR="00D022EE" w:rsidRPr="00DC7523" w:rsidRDefault="00D022EE" w:rsidP="00D022EE">
      <w:pPr>
        <w:pStyle w:val="ListParagraph"/>
        <w:numPr>
          <w:ilvl w:val="0"/>
          <w:numId w:val="15"/>
        </w:numPr>
        <w:spacing w:after="150"/>
        <w:jc w:val="both"/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</w:pP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Model ugovora</w:t>
      </w:r>
    </w:p>
    <w:p w14:paraId="7B348876" w14:textId="77777777" w:rsidR="00D022EE" w:rsidRPr="00D022EE" w:rsidRDefault="00D022EE" w:rsidP="00D022EE">
      <w:pPr>
        <w:spacing w:after="150"/>
        <w:jc w:val="both"/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</w:pPr>
      <w:r w:rsidRPr="00D022EE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Model ugovora naručilac sačinjava i objavljuje na osnovu podataka</w:t>
      </w:r>
      <w:r w:rsidRPr="00D022EE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koji su raspoloživi u prvoj fazi, a kako bi se potencijalnim ponuđačima predočile i druge obaveze koje će biti </w:t>
      </w:r>
      <w:r w:rsidRPr="00D022EE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dužni</w:t>
      </w:r>
      <w:r w:rsidRPr="00D022EE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da izvrš</w:t>
      </w:r>
      <w:r w:rsidRPr="00D022EE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avaju u fazi realizacije predmeta nabavke, odnosno isporuke dobara, pružanja usluga ili izvođenja radova.  </w:t>
      </w:r>
    </w:p>
    <w:p w14:paraId="3176A582" w14:textId="07C7131A" w:rsidR="00AA59A3" w:rsidRPr="00DC7523" w:rsidRDefault="00A368E8" w:rsidP="00D022EE">
      <w:pPr>
        <w:pStyle w:val="ListParagraph"/>
        <w:numPr>
          <w:ilvl w:val="0"/>
          <w:numId w:val="15"/>
        </w:numPr>
        <w:spacing w:after="150"/>
        <w:jc w:val="both"/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</w:pP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Uputstvo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ponuđačima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kako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da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sačine</w:t>
      </w:r>
      <w:r w:rsidR="00AA59A3"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prijavu</w:t>
      </w:r>
    </w:p>
    <w:p w14:paraId="2FB84278" w14:textId="103F541A" w:rsidR="00AA59A3" w:rsidRPr="00DC7523" w:rsidRDefault="008C1F78" w:rsidP="00AA59A3">
      <w:pPr>
        <w:spacing w:after="150"/>
        <w:jc w:val="both"/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</w:pPr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Ovaj dokument kreira se putem Portala na osnovu podataka koje naručilac unosi prilikom pripreme konkursne dokumentacije, i sadrži podatke </w:t>
      </w:r>
      <w:r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koji su propisani u članu 10. Pravilnika</w:t>
      </w:r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, kao što su: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podaci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o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jeziku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na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kojem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treba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da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bude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sastavlјena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prijava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;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način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i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rok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za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podnošenje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prijave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;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način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komunikacije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u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postupku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;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način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izmene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,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dopune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i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opoziva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prijave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;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šta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treba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da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bude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ispunjeno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ako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se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podnosi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prijava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sa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podizvođačem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,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odnosno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prijava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grupe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ponuđača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i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A368E8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dr</w:t>
      </w:r>
      <w:r w:rsidR="00AA59A3" w:rsidRPr="00DC7523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765A" w:rsidRPr="00DC7523" w14:paraId="73E6C424" w14:textId="77777777" w:rsidTr="008A765A">
        <w:tc>
          <w:tcPr>
            <w:tcW w:w="9016" w:type="dxa"/>
            <w:shd w:val="clear" w:color="auto" w:fill="C4F0C2" w:themeFill="accent3" w:themeFillTint="66"/>
          </w:tcPr>
          <w:p w14:paraId="2EEDCD39" w14:textId="621CF818" w:rsidR="008A765A" w:rsidRPr="00DC7523" w:rsidRDefault="008A765A" w:rsidP="008A765A">
            <w:pPr>
              <w:tabs>
                <w:tab w:val="left" w:pos="720"/>
              </w:tabs>
              <w:suppressAutoHyphens/>
              <w:spacing w:after="160" w:line="259" w:lineRule="auto"/>
              <w:ind w:right="45"/>
              <w:jc w:val="both"/>
              <w:rPr>
                <w:rFonts w:ascii="Segoe UI" w:eastAsia="Times New Roman" w:hAnsi="Segoe UI" w:cs="Segoe UI"/>
                <w:color w:val="262626" w:themeColor="text1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i/>
                <w:color w:val="262626" w:themeColor="text1"/>
                <w:kern w:val="0"/>
                <w:sz w:val="24"/>
                <w:szCs w:val="24"/>
                <w:lang w:eastAsia="sr-Latn-RS"/>
                <w14:ligatures w14:val="none"/>
              </w:rPr>
              <w:t>Napomena:</w:t>
            </w:r>
            <w:r w:rsidRPr="00DC7523">
              <w:rPr>
                <w:rFonts w:ascii="Segoe UI" w:eastAsia="Times New Roman" w:hAnsi="Segoe UI" w:cs="Segoe UI"/>
                <w:i/>
                <w:color w:val="262626" w:themeColor="text1"/>
                <w:kern w:val="0"/>
                <w:sz w:val="24"/>
                <w:szCs w:val="24"/>
                <w:lang w:eastAsia="sr-Latn-RS"/>
                <w14:ligatures w14:val="none"/>
              </w:rPr>
              <w:t xml:space="preserve"> Navedeni podaci o sadržini konkursne dokumentacije u prvoj fazi postupka predstavljaju osnovne delove te dokumentacije</w:t>
            </w:r>
            <w:r w:rsidR="004C6BA4" w:rsidRPr="00DC7523">
              <w:rPr>
                <w:rFonts w:ascii="Segoe UI" w:eastAsia="Times New Roman" w:hAnsi="Segoe UI" w:cs="Segoe UI"/>
                <w:i/>
                <w:color w:val="262626" w:themeColor="text1"/>
                <w:kern w:val="0"/>
                <w:sz w:val="24"/>
                <w:szCs w:val="24"/>
                <w:lang w:eastAsia="sr-Latn-RS"/>
                <w14:ligatures w14:val="none"/>
              </w:rPr>
              <w:t xml:space="preserve"> i naručilac ih određuje shodno prirodi predmeta nabavke. Obavezna sadržina konkursne dokumentacije definisana je čl. 6. i 8. Pravilnika. </w:t>
            </w:r>
            <w:r w:rsidR="00BC5F25">
              <w:rPr>
                <w:rFonts w:ascii="Segoe UI" w:eastAsia="Times New Roman" w:hAnsi="Segoe UI" w:cs="Segoe UI"/>
                <w:i/>
                <w:color w:val="262626" w:themeColor="text1"/>
                <w:kern w:val="0"/>
                <w:sz w:val="24"/>
                <w:szCs w:val="24"/>
                <w:lang w:eastAsia="sr-Latn-RS"/>
                <w14:ligatures w14:val="none"/>
              </w:rPr>
              <w:t>Shodno tome</w:t>
            </w:r>
            <w:r w:rsidR="00D022EE">
              <w:rPr>
                <w:rFonts w:ascii="Segoe UI" w:eastAsia="Times New Roman" w:hAnsi="Segoe UI" w:cs="Segoe UI"/>
                <w:i/>
                <w:color w:val="262626" w:themeColor="text1"/>
                <w:kern w:val="0"/>
                <w:sz w:val="24"/>
                <w:szCs w:val="24"/>
                <w:lang w:eastAsia="sr-Latn-RS"/>
                <w14:ligatures w14:val="none"/>
              </w:rPr>
              <w:t xml:space="preserve">, naručilac će </w:t>
            </w:r>
            <w:r w:rsidR="00BC5F25">
              <w:rPr>
                <w:rFonts w:ascii="Segoe UI" w:eastAsia="Times New Roman" w:hAnsi="Segoe UI" w:cs="Segoe UI"/>
                <w:i/>
                <w:color w:val="262626" w:themeColor="text1"/>
                <w:kern w:val="0"/>
                <w:sz w:val="24"/>
                <w:szCs w:val="24"/>
                <w:lang w:eastAsia="sr-Latn-RS"/>
                <w14:ligatures w14:val="none"/>
              </w:rPr>
              <w:t xml:space="preserve">pored pomenutih dokumenata </w:t>
            </w:r>
            <w:r w:rsidR="00D022EE">
              <w:rPr>
                <w:rFonts w:ascii="Segoe UI" w:eastAsia="Times New Roman" w:hAnsi="Segoe UI" w:cs="Segoe UI"/>
                <w:i/>
                <w:color w:val="262626" w:themeColor="text1"/>
                <w:kern w:val="0"/>
                <w:sz w:val="24"/>
                <w:szCs w:val="24"/>
                <w:lang w:eastAsia="sr-Latn-RS"/>
                <w14:ligatures w14:val="none"/>
              </w:rPr>
              <w:t xml:space="preserve">primenom funkcionalnosti Portala kreirati podatke  na osnovu kojih će kandidati  pripremiti obrazac prijave, kao i podatke na osnovu kojih kandidati </w:t>
            </w:r>
            <w:r w:rsidR="00BC5F25">
              <w:rPr>
                <w:rFonts w:ascii="Segoe UI" w:eastAsia="Times New Roman" w:hAnsi="Segoe UI" w:cs="Segoe UI"/>
                <w:i/>
                <w:color w:val="262626" w:themeColor="text1"/>
                <w:kern w:val="0"/>
                <w:sz w:val="24"/>
                <w:szCs w:val="24"/>
                <w:lang w:eastAsia="sr-Latn-RS"/>
                <w14:ligatures w14:val="none"/>
              </w:rPr>
              <w:t>pripremaju obrazac izjave o ispunjenosti kriterijuma za kvalitativni izbor privrrednog subjekta. Takođe, i</w:t>
            </w:r>
            <w:r w:rsidR="00D022EE" w:rsidRPr="00D022EE">
              <w:rPr>
                <w:rFonts w:ascii="Segoe UI" w:eastAsia="Times New Roman" w:hAnsi="Segoe UI" w:cs="Segoe UI"/>
                <w:i/>
                <w:color w:val="262626" w:themeColor="text1"/>
                <w:kern w:val="0"/>
                <w:sz w:val="24"/>
                <w:szCs w:val="24"/>
                <w:lang w:eastAsia="sr-Latn-RS"/>
                <w14:ligatures w14:val="none"/>
              </w:rPr>
              <w:t xml:space="preserve">majući u vidu da se ponude podnose u drugoj fazi, a da se prva faza sprovodi u cilјu kvalifikacije kandidata, </w:t>
            </w:r>
            <w:r w:rsidR="00D022EE">
              <w:rPr>
                <w:rFonts w:ascii="Segoe UI" w:eastAsia="Times New Roman" w:hAnsi="Segoe UI" w:cs="Segoe UI"/>
                <w:i/>
                <w:color w:val="262626" w:themeColor="text1"/>
                <w:kern w:val="0"/>
                <w:sz w:val="24"/>
                <w:szCs w:val="24"/>
                <w:lang w:eastAsia="sr-Latn-RS"/>
                <w14:ligatures w14:val="none"/>
              </w:rPr>
              <w:t xml:space="preserve">recimo obrazac strukture cene neće biti sastavni deo prve faze postupka, ali ga naručilac može odrediti i u ovoj fazi. </w:t>
            </w:r>
          </w:p>
        </w:tc>
      </w:tr>
    </w:tbl>
    <w:p w14:paraId="5E503124" w14:textId="7A98D858" w:rsidR="0027792F" w:rsidRPr="00DC7523" w:rsidRDefault="0027792F" w:rsidP="00602326">
      <w:pPr>
        <w:rPr>
          <w:rFonts w:ascii="Segoe UI" w:hAnsi="Segoe UI" w:cs="Segoe UI"/>
          <w:sz w:val="24"/>
          <w:szCs w:val="24"/>
        </w:rPr>
      </w:pPr>
    </w:p>
    <w:p w14:paraId="78505596" w14:textId="22494E70" w:rsidR="004C6BA4" w:rsidRPr="004810C7" w:rsidRDefault="004C6BA4" w:rsidP="00B7087D">
      <w:pPr>
        <w:pStyle w:val="ListParagraph"/>
        <w:numPr>
          <w:ilvl w:val="0"/>
          <w:numId w:val="18"/>
        </w:numPr>
        <w:jc w:val="both"/>
        <w:rPr>
          <w:rFonts w:ascii="Segoe UI" w:eastAsia="Times New Roman" w:hAnsi="Segoe UI" w:cs="Segoe UI"/>
          <w:b/>
          <w:bCs/>
          <w:kern w:val="0"/>
          <w:sz w:val="24"/>
          <w:szCs w:val="24"/>
          <w:lang w:val="sr-Cyrl-RS" w:eastAsia="sr-Latn-RS"/>
          <w14:ligatures w14:val="none"/>
        </w:rPr>
      </w:pPr>
      <w:r w:rsidRPr="004810C7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sr-Latn-RS"/>
          <w14:ligatures w14:val="none"/>
        </w:rPr>
        <w:t>Stručna ocena prijava</w:t>
      </w:r>
      <w:r w:rsidR="00004A3D" w:rsidRPr="004810C7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sr-Latn-RS"/>
          <w14:ligatures w14:val="none"/>
        </w:rPr>
        <w:t xml:space="preserve"> i prijem kandidata u sistem</w:t>
      </w:r>
    </w:p>
    <w:p w14:paraId="7B7D488B" w14:textId="303F656A" w:rsidR="00935DA7" w:rsidRPr="004810C7" w:rsidRDefault="001C2861" w:rsidP="004C6BA4">
      <w:pPr>
        <w:pStyle w:val="NormalWeb"/>
        <w:jc w:val="both"/>
        <w:rPr>
          <w:rFonts w:ascii="Segoe UI" w:hAnsi="Segoe UI" w:cs="Segoe UI"/>
        </w:rPr>
      </w:pPr>
      <w:r w:rsidRPr="004810C7">
        <w:rPr>
          <w:rFonts w:ascii="Segoe UI" w:hAnsi="Segoe UI" w:cs="Segoe UI"/>
        </w:rPr>
        <w:t xml:space="preserve">Nakon isteka </w:t>
      </w:r>
      <w:r w:rsidR="00833572">
        <w:rPr>
          <w:rFonts w:ascii="Segoe UI" w:hAnsi="Segoe UI" w:cs="Segoe UI"/>
        </w:rPr>
        <w:t>početnog</w:t>
      </w:r>
      <w:r w:rsidRPr="004810C7">
        <w:rPr>
          <w:rFonts w:ascii="Segoe UI" w:hAnsi="Segoe UI" w:cs="Segoe UI"/>
        </w:rPr>
        <w:t xml:space="preserve"> roka za podnošenje prijava pristupa se otvaranju prijava. </w:t>
      </w:r>
      <w:r w:rsidRPr="004810C7">
        <w:rPr>
          <w:rFonts w:ascii="Segoe UI" w:hAnsi="Segoe UI" w:cs="Segoe UI"/>
          <w:b/>
        </w:rPr>
        <w:t>Otvaranje prijava nije javno</w:t>
      </w:r>
      <w:r w:rsidRPr="004810C7">
        <w:rPr>
          <w:rFonts w:ascii="Segoe UI" w:hAnsi="Segoe UI" w:cs="Segoe UI"/>
        </w:rPr>
        <w:t xml:space="preserve">. Portal kreira zapisnik o otvaranju prijava, ali se </w:t>
      </w:r>
      <w:r w:rsidR="00831FAF" w:rsidRPr="004810C7">
        <w:rPr>
          <w:rFonts w:ascii="Segoe UI" w:hAnsi="Segoe UI" w:cs="Segoe UI"/>
        </w:rPr>
        <w:t xml:space="preserve">ne </w:t>
      </w:r>
      <w:r w:rsidRPr="004810C7">
        <w:rPr>
          <w:rFonts w:ascii="Segoe UI" w:hAnsi="Segoe UI" w:cs="Segoe UI"/>
        </w:rPr>
        <w:t xml:space="preserve">dostavlja kandidatima, već je vidljiv </w:t>
      </w:r>
      <w:r w:rsidR="00935DA7" w:rsidRPr="004810C7">
        <w:rPr>
          <w:rFonts w:ascii="Segoe UI" w:hAnsi="Segoe UI" w:cs="Segoe UI"/>
        </w:rPr>
        <w:t>samo naručiocu</w:t>
      </w:r>
      <w:r w:rsidR="00831FAF" w:rsidRPr="004810C7">
        <w:rPr>
          <w:rFonts w:ascii="Segoe UI" w:hAnsi="Segoe UI" w:cs="Segoe UI"/>
        </w:rPr>
        <w:t>. K</w:t>
      </w:r>
      <w:r w:rsidR="00935DA7" w:rsidRPr="004810C7">
        <w:rPr>
          <w:rFonts w:ascii="Segoe UI" w:hAnsi="Segoe UI" w:cs="Segoe UI"/>
        </w:rPr>
        <w:t xml:space="preserve">ako prvi zapisnik, tako i svi </w:t>
      </w:r>
      <w:r w:rsidR="00935DA7" w:rsidRPr="004810C7">
        <w:rPr>
          <w:rFonts w:ascii="Segoe UI" w:hAnsi="Segoe UI" w:cs="Segoe UI"/>
        </w:rPr>
        <w:lastRenderedPageBreak/>
        <w:t>sledeći koje kreira Portal odmah po podnošenju svake prijave, ostaju vidljivi samo naručiocu.</w:t>
      </w:r>
    </w:p>
    <w:p w14:paraId="737B5597" w14:textId="77777777" w:rsidR="004810C7" w:rsidRDefault="004C6BA4" w:rsidP="00DC7523">
      <w:pPr>
        <w:pStyle w:val="NormalWeb"/>
        <w:spacing w:after="0" w:afterAutospacing="0"/>
        <w:jc w:val="both"/>
        <w:rPr>
          <w:rFonts w:ascii="Segoe UI" w:hAnsi="Segoe UI" w:cs="Segoe UI"/>
        </w:rPr>
      </w:pPr>
      <w:r w:rsidRPr="004810C7">
        <w:rPr>
          <w:rFonts w:ascii="Segoe UI" w:hAnsi="Segoe UI" w:cs="Segoe UI"/>
        </w:rPr>
        <w:t xml:space="preserve">Naručilac je dužan da stručnu ocenu prijava izvrši </w:t>
      </w:r>
      <w:r w:rsidRPr="004810C7">
        <w:rPr>
          <w:rFonts w:ascii="Segoe UI" w:hAnsi="Segoe UI" w:cs="Segoe UI"/>
          <w:b/>
        </w:rPr>
        <w:t xml:space="preserve">u </w:t>
      </w:r>
      <w:r w:rsidRPr="004810C7">
        <w:rPr>
          <w:rFonts w:ascii="Segoe UI" w:hAnsi="Segoe UI" w:cs="Segoe UI"/>
          <w:b/>
          <w:lang w:val="sr-Cyrl-RS"/>
        </w:rPr>
        <w:t>roku od 10 radnih dana</w:t>
      </w:r>
      <w:r w:rsidRPr="004810C7">
        <w:rPr>
          <w:rFonts w:ascii="Segoe UI" w:hAnsi="Segoe UI" w:cs="Segoe UI"/>
          <w:lang w:val="sr-Cyrl-RS"/>
        </w:rPr>
        <w:t xml:space="preserve"> od prijema prijava</w:t>
      </w:r>
      <w:r w:rsidRPr="004810C7">
        <w:rPr>
          <w:rFonts w:ascii="Segoe UI" w:hAnsi="Segoe UI" w:cs="Segoe UI"/>
        </w:rPr>
        <w:t xml:space="preserve">. Navedeni rok </w:t>
      </w:r>
      <w:r w:rsidRPr="004810C7">
        <w:rPr>
          <w:rFonts w:ascii="Segoe UI" w:hAnsi="Segoe UI" w:cs="Segoe UI"/>
          <w:b/>
        </w:rPr>
        <w:t xml:space="preserve">izuzetno može da se produži na </w:t>
      </w:r>
      <w:r w:rsidRPr="004810C7">
        <w:rPr>
          <w:rFonts w:ascii="Segoe UI" w:hAnsi="Segoe UI" w:cs="Segoe UI"/>
          <w:b/>
          <w:lang w:val="sr-Cyrl-RS"/>
        </w:rPr>
        <w:t>15 radnih dana</w:t>
      </w:r>
      <w:r w:rsidRPr="004810C7">
        <w:rPr>
          <w:rFonts w:ascii="Segoe UI" w:hAnsi="Segoe UI" w:cs="Segoe UI"/>
          <w:lang w:val="sr-Cyrl-RS"/>
        </w:rPr>
        <w:t xml:space="preserve"> ako je to opravdano u konkretnom slučaju</w:t>
      </w:r>
      <w:r w:rsidRPr="004810C7">
        <w:rPr>
          <w:rFonts w:ascii="Segoe UI" w:hAnsi="Segoe UI" w:cs="Segoe UI"/>
        </w:rPr>
        <w:t xml:space="preserve"> </w:t>
      </w:r>
      <w:r w:rsidRPr="004810C7">
        <w:rPr>
          <w:rFonts w:ascii="Segoe UI" w:hAnsi="Segoe UI" w:cs="Segoe UI"/>
          <w:lang w:val="sr-Cyrl-RS"/>
        </w:rPr>
        <w:t>posebno zbog potrebe proučavanja dodatne dokumentacije ili zbog provere da li su ispunjeni kriterijumi za kvalitativni izbor</w:t>
      </w:r>
      <w:r w:rsidRPr="004810C7">
        <w:rPr>
          <w:rFonts w:ascii="Segoe UI" w:hAnsi="Segoe UI" w:cs="Segoe UI"/>
        </w:rPr>
        <w:t xml:space="preserve">. </w:t>
      </w:r>
    </w:p>
    <w:p w14:paraId="43A8D150" w14:textId="02EA811C" w:rsidR="004C6BA4" w:rsidRPr="004810C7" w:rsidRDefault="00BC441B" w:rsidP="004810C7">
      <w:pPr>
        <w:pStyle w:val="NormalWeb"/>
        <w:spacing w:after="240" w:afterAutospacing="0"/>
        <w:jc w:val="both"/>
        <w:rPr>
          <w:rFonts w:ascii="Segoe UI" w:hAnsi="Segoe UI" w:cs="Segoe UI"/>
          <w:lang w:val="sr-Cyrl-RS"/>
        </w:rPr>
      </w:pPr>
      <w:r w:rsidRPr="004810C7">
        <w:rPr>
          <w:rFonts w:ascii="Segoe UI" w:hAnsi="Segoe UI" w:cs="Segoe UI"/>
        </w:rPr>
        <w:t xml:space="preserve">S obzirom </w:t>
      </w:r>
      <w:r w:rsidR="00DC7523" w:rsidRPr="004810C7">
        <w:rPr>
          <w:rFonts w:ascii="Segoe UI" w:hAnsi="Segoe UI" w:cs="Segoe UI"/>
        </w:rPr>
        <w:t xml:space="preserve">na to </w:t>
      </w:r>
      <w:r w:rsidRPr="004810C7">
        <w:rPr>
          <w:rFonts w:ascii="Segoe UI" w:hAnsi="Segoe UI" w:cs="Segoe UI"/>
        </w:rPr>
        <w:t xml:space="preserve">da se stručna ocena prijava vrši kako po isteku </w:t>
      </w:r>
      <w:r w:rsidR="00EB25A1">
        <w:rPr>
          <w:rFonts w:ascii="Segoe UI" w:hAnsi="Segoe UI" w:cs="Segoe UI"/>
        </w:rPr>
        <w:t>početnog</w:t>
      </w:r>
      <w:r w:rsidRPr="004810C7">
        <w:rPr>
          <w:rFonts w:ascii="Segoe UI" w:hAnsi="Segoe UI" w:cs="Segoe UI"/>
        </w:rPr>
        <w:t xml:space="preserve"> roka za podnošenje prijava, tako i sve vreme dok traje SDN, kada pristignu nove prijave</w:t>
      </w:r>
      <w:r w:rsidR="00DC7523" w:rsidRPr="004810C7">
        <w:rPr>
          <w:rFonts w:ascii="Segoe UI" w:hAnsi="Segoe UI" w:cs="Segoe UI"/>
        </w:rPr>
        <w:t>, o</w:t>
      </w:r>
      <w:r w:rsidRPr="004810C7">
        <w:rPr>
          <w:rFonts w:ascii="Segoe UI" w:hAnsi="Segoe UI" w:cs="Segoe UI"/>
        </w:rPr>
        <w:t>vi rokovi se odnose na prijave koje se podnesu kako u početnom roku, tako i nakon tog početnog roka.</w:t>
      </w:r>
      <w:r w:rsidR="00DC7523" w:rsidRPr="004810C7">
        <w:rPr>
          <w:rFonts w:ascii="Segoe UI" w:hAnsi="Segoe UI" w:cs="Segoe UI"/>
        </w:rPr>
        <w:t xml:space="preserve"> </w:t>
      </w:r>
      <w:r w:rsidR="001B0941" w:rsidRPr="004810C7">
        <w:rPr>
          <w:rFonts w:ascii="Segoe UI" w:hAnsi="Segoe UI" w:cs="Segoe UI"/>
        </w:rPr>
        <w:t>Me</w:t>
      </w:r>
      <w:r w:rsidR="00EA6E5C">
        <w:rPr>
          <w:rFonts w:ascii="Segoe UI" w:hAnsi="Segoe UI" w:cs="Segoe UI"/>
        </w:rPr>
        <w:t>đ</w:t>
      </w:r>
      <w:r w:rsidR="001B0941" w:rsidRPr="004810C7">
        <w:rPr>
          <w:rFonts w:ascii="Segoe UI" w:hAnsi="Segoe UI" w:cs="Segoe UI"/>
        </w:rPr>
        <w:t xml:space="preserve">utim, </w:t>
      </w:r>
      <w:r w:rsidR="004C6BA4" w:rsidRPr="004810C7">
        <w:rPr>
          <w:rFonts w:ascii="Segoe UI" w:hAnsi="Segoe UI" w:cs="Segoe UI"/>
          <w:lang w:val="sr-Cyrl-RS"/>
        </w:rPr>
        <w:t xml:space="preserve">sve dok ne pošalje poziv za podnošenje ponuda za prvu posebnu nabavku u okviru SDN-a, naručilac može da produži rok za ocenu prijava pod uslovom: </w:t>
      </w:r>
    </w:p>
    <w:p w14:paraId="3E72C028" w14:textId="0DC64892" w:rsidR="004C6BA4" w:rsidRPr="004810C7" w:rsidRDefault="004C6BA4" w:rsidP="00B7087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Segoe UI" w:hAnsi="Segoe UI" w:cs="Segoe UI"/>
          <w:lang w:val="sr-Cyrl-RS"/>
        </w:rPr>
      </w:pPr>
      <w:r w:rsidRPr="004810C7">
        <w:rPr>
          <w:rFonts w:ascii="Segoe UI" w:hAnsi="Segoe UI" w:cs="Segoe UI"/>
          <w:lang w:val="sr-Cyrl-RS"/>
        </w:rPr>
        <w:t xml:space="preserve">da tokom produženog roka nije poslao nijedan poziv </w:t>
      </w:r>
      <w:r w:rsidR="00EA6E5C">
        <w:rPr>
          <w:rFonts w:ascii="Segoe UI" w:hAnsi="Segoe UI" w:cs="Segoe UI"/>
        </w:rPr>
        <w:t>za</w:t>
      </w:r>
      <w:r w:rsidRPr="004810C7">
        <w:rPr>
          <w:rFonts w:ascii="Segoe UI" w:hAnsi="Segoe UI" w:cs="Segoe UI"/>
          <w:lang w:val="sr-Cyrl-RS"/>
        </w:rPr>
        <w:t xml:space="preserve"> podnošenje ponuda i </w:t>
      </w:r>
    </w:p>
    <w:p w14:paraId="53428D0E" w14:textId="3DBDED7E" w:rsidR="004C6BA4" w:rsidRPr="004810C7" w:rsidRDefault="004C6BA4" w:rsidP="00B7087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Segoe UI" w:hAnsi="Segoe UI" w:cs="Segoe UI"/>
          <w:lang w:val="sr-Cyrl-RS"/>
        </w:rPr>
      </w:pPr>
      <w:r w:rsidRPr="004810C7">
        <w:rPr>
          <w:rFonts w:ascii="Segoe UI" w:hAnsi="Segoe UI" w:cs="Segoe UI"/>
          <w:lang w:val="sr-Cyrl-RS"/>
        </w:rPr>
        <w:t xml:space="preserve">da je u </w:t>
      </w:r>
      <w:r w:rsidR="001B0941" w:rsidRPr="004810C7">
        <w:rPr>
          <w:rFonts w:ascii="Segoe UI" w:hAnsi="Segoe UI" w:cs="Segoe UI"/>
        </w:rPr>
        <w:t>dokumentaciji o nabavci</w:t>
      </w:r>
      <w:r w:rsidRPr="004810C7">
        <w:rPr>
          <w:rFonts w:ascii="Segoe UI" w:hAnsi="Segoe UI" w:cs="Segoe UI"/>
          <w:lang w:val="sr-Cyrl-RS"/>
        </w:rPr>
        <w:t xml:space="preserve"> odredio za koliko će produžiti rok za ocenu prijava koji namerava da primeni</w:t>
      </w:r>
      <w:r w:rsidR="001B0941" w:rsidRPr="004810C7">
        <w:rPr>
          <w:rFonts w:ascii="Segoe UI" w:hAnsi="Segoe UI" w:cs="Segoe UI"/>
        </w:rPr>
        <w:t>.</w:t>
      </w:r>
      <w:r w:rsidRPr="004810C7">
        <w:rPr>
          <w:rFonts w:ascii="Segoe UI" w:hAnsi="Segoe UI" w:cs="Segoe UI"/>
          <w:lang w:val="sr-Cyrl-RS"/>
        </w:rPr>
        <w:t xml:space="preserve"> </w:t>
      </w:r>
    </w:p>
    <w:p w14:paraId="5719EF5A" w14:textId="1B2711B4" w:rsidR="00935DA7" w:rsidRPr="00E85156" w:rsidRDefault="001B0941" w:rsidP="00BC441B">
      <w:pPr>
        <w:pStyle w:val="NormalWeb"/>
        <w:jc w:val="both"/>
        <w:rPr>
          <w:rFonts w:ascii="Segoe UI" w:hAnsi="Segoe UI" w:cs="Segoe UI"/>
        </w:rPr>
      </w:pPr>
      <w:r w:rsidRPr="004810C7">
        <w:rPr>
          <w:rFonts w:ascii="Segoe UI" w:hAnsi="Segoe UI" w:cs="Segoe UI"/>
        </w:rPr>
        <w:t>N</w:t>
      </w:r>
      <w:r w:rsidR="00935DA7" w:rsidRPr="004810C7">
        <w:rPr>
          <w:rFonts w:ascii="Segoe UI" w:hAnsi="Segoe UI" w:cs="Segoe UI"/>
          <w:lang w:val="vi-VN"/>
        </w:rPr>
        <w:t xml:space="preserve">aručilac ocenjuje pristigle prijave </w:t>
      </w:r>
      <w:r w:rsidR="00831FAF" w:rsidRPr="004810C7">
        <w:rPr>
          <w:rFonts w:ascii="Segoe UI" w:hAnsi="Segoe UI" w:cs="Segoe UI"/>
        </w:rPr>
        <w:t>u cilju utvrđivanja uslova kvalifikacije, odnosno da li podnosilac prijave ispunjava</w:t>
      </w:r>
      <w:r w:rsidR="00935DA7" w:rsidRPr="004810C7">
        <w:rPr>
          <w:rFonts w:ascii="Segoe UI" w:hAnsi="Segoe UI" w:cs="Segoe UI"/>
          <w:lang w:val="vi-VN"/>
        </w:rPr>
        <w:t xml:space="preserve"> kriterijum</w:t>
      </w:r>
      <w:r w:rsidR="00831FAF" w:rsidRPr="004810C7">
        <w:rPr>
          <w:rFonts w:ascii="Segoe UI" w:hAnsi="Segoe UI" w:cs="Segoe UI"/>
        </w:rPr>
        <w:t>e</w:t>
      </w:r>
      <w:r w:rsidR="00935DA7" w:rsidRPr="004810C7">
        <w:rPr>
          <w:rFonts w:ascii="Segoe UI" w:hAnsi="Segoe UI" w:cs="Segoe UI"/>
          <w:lang w:val="vi-VN"/>
        </w:rPr>
        <w:t xml:space="preserve"> za kvalitativni izbor privrednog subjekta</w:t>
      </w:r>
      <w:r w:rsidR="00831FAF" w:rsidRPr="004810C7">
        <w:rPr>
          <w:rFonts w:ascii="Segoe UI" w:hAnsi="Segoe UI" w:cs="Segoe UI"/>
        </w:rPr>
        <w:t xml:space="preserve"> koje je naručilac odredio u konkursnoj dokumentaciji</w:t>
      </w:r>
      <w:r w:rsidR="00BC441B" w:rsidRPr="004810C7">
        <w:rPr>
          <w:rFonts w:ascii="Segoe UI" w:hAnsi="Segoe UI" w:cs="Segoe UI"/>
        </w:rPr>
        <w:t xml:space="preserve">. </w:t>
      </w:r>
      <w:r w:rsidR="00935DA7" w:rsidRPr="004810C7">
        <w:rPr>
          <w:rFonts w:ascii="Segoe UI" w:hAnsi="Segoe UI" w:cs="Segoe UI"/>
          <w:bCs/>
          <w:lang w:val="vi-VN"/>
        </w:rPr>
        <w:t>Prijav</w:t>
      </w:r>
      <w:r w:rsidR="001C2861" w:rsidRPr="004810C7">
        <w:rPr>
          <w:rFonts w:ascii="Segoe UI" w:hAnsi="Segoe UI" w:cs="Segoe UI"/>
          <w:bCs/>
        </w:rPr>
        <w:t xml:space="preserve">u pre svega čini </w:t>
      </w:r>
      <w:r w:rsidR="00935DA7" w:rsidRPr="004810C7">
        <w:rPr>
          <w:rFonts w:ascii="Segoe UI" w:hAnsi="Segoe UI" w:cs="Segoe UI"/>
          <w:bCs/>
          <w:lang w:val="vi-VN"/>
        </w:rPr>
        <w:t>Izjava o ispunjenosti kriterijuma za kvalitativni izbor privrednog subjekta i obrazac prijave</w:t>
      </w:r>
      <w:r w:rsidR="00E85156">
        <w:rPr>
          <w:rFonts w:ascii="Segoe UI" w:hAnsi="Segoe UI" w:cs="Segoe UI"/>
          <w:bCs/>
        </w:rPr>
        <w:t xml:space="preserve">, na osnovu kojih </w:t>
      </w:r>
      <w:r w:rsidR="00E85156" w:rsidRPr="00E85156">
        <w:rPr>
          <w:rFonts w:ascii="Segoe UI" w:hAnsi="Segoe UI" w:cs="Segoe UI"/>
          <w:bCs/>
        </w:rPr>
        <w:t xml:space="preserve">naručilac vrši kvalifikaciju kandidata. </w:t>
      </w:r>
    </w:p>
    <w:p w14:paraId="49D53730" w14:textId="2F2FF36A" w:rsidR="001B0941" w:rsidRDefault="00DC12FC" w:rsidP="00BC441B">
      <w:pPr>
        <w:pStyle w:val="NormalWeb"/>
        <w:jc w:val="both"/>
        <w:rPr>
          <w:rFonts w:ascii="Segoe UI" w:hAnsi="Segoe UI" w:cs="Segoe UI"/>
        </w:rPr>
      </w:pPr>
      <w:r w:rsidRPr="004810C7">
        <w:rPr>
          <w:rFonts w:ascii="Segoe UI" w:hAnsi="Segoe UI" w:cs="Segoe UI"/>
        </w:rPr>
        <w:t xml:space="preserve">Shodno članu </w:t>
      </w:r>
      <w:r w:rsidRPr="004810C7">
        <w:rPr>
          <w:rFonts w:ascii="Segoe UI" w:hAnsi="Segoe UI" w:cs="Segoe UI"/>
          <w:lang w:val="vi-VN"/>
        </w:rPr>
        <w:t>119. st</w:t>
      </w:r>
      <w:r w:rsidRPr="004810C7">
        <w:rPr>
          <w:rFonts w:ascii="Segoe UI" w:hAnsi="Segoe UI" w:cs="Segoe UI"/>
        </w:rPr>
        <w:t>av</w:t>
      </w:r>
      <w:r w:rsidRPr="004810C7">
        <w:rPr>
          <w:rFonts w:ascii="Segoe UI" w:hAnsi="Segoe UI" w:cs="Segoe UI"/>
          <w:lang w:val="vi-VN"/>
        </w:rPr>
        <w:t xml:space="preserve"> 1.</w:t>
      </w:r>
      <w:r w:rsidRPr="004810C7">
        <w:rPr>
          <w:rFonts w:ascii="Segoe UI" w:hAnsi="Segoe UI" w:cs="Segoe UI"/>
        </w:rPr>
        <w:t xml:space="preserve"> ZJN-a</w:t>
      </w:r>
      <w:r w:rsidRPr="004810C7">
        <w:rPr>
          <w:rFonts w:ascii="Segoe UI" w:hAnsi="Segoe UI" w:cs="Segoe UI"/>
          <w:lang w:val="vi-VN"/>
        </w:rPr>
        <w:t xml:space="preserve"> </w:t>
      </w:r>
      <w:r w:rsidRPr="004810C7">
        <w:rPr>
          <w:rFonts w:ascii="Segoe UI" w:hAnsi="Segoe UI" w:cs="Segoe UI"/>
        </w:rPr>
        <w:t>n</w:t>
      </w:r>
      <w:r w:rsidRPr="004810C7">
        <w:rPr>
          <w:rFonts w:ascii="Segoe UI" w:hAnsi="Segoe UI" w:cs="Segoe UI"/>
          <w:lang w:val="vi-VN"/>
        </w:rPr>
        <w:t xml:space="preserve">aručilac je dužan da zahteva </w:t>
      </w:r>
      <w:r w:rsidRPr="00E85156">
        <w:rPr>
          <w:rFonts w:ascii="Segoe UI" w:hAnsi="Segoe UI" w:cs="Segoe UI"/>
          <w:lang w:val="vi-VN"/>
        </w:rPr>
        <w:t>od ponuđača koji je dostavio ekonomski najpovoljniju ponudu</w:t>
      </w:r>
      <w:r w:rsidRPr="004810C7">
        <w:rPr>
          <w:rFonts w:ascii="Segoe UI" w:hAnsi="Segoe UI" w:cs="Segoe UI"/>
          <w:lang w:val="vi-VN"/>
        </w:rPr>
        <w:t xml:space="preserve"> da dostavi dokaze o ispunjenosti kriterijuma</w:t>
      </w:r>
      <w:r w:rsidRPr="004810C7">
        <w:rPr>
          <w:rFonts w:ascii="Segoe UI" w:hAnsi="Segoe UI" w:cs="Segoe UI"/>
        </w:rPr>
        <w:t xml:space="preserve"> za kvalitativni izbor privrednog subjekta. </w:t>
      </w:r>
      <w:r w:rsidR="00E85156" w:rsidRPr="00A66FA5">
        <w:rPr>
          <w:rFonts w:ascii="Segoe UI" w:hAnsi="Segoe UI" w:cs="Segoe UI"/>
        </w:rPr>
        <w:t>Na osnovu na</w:t>
      </w:r>
      <w:r w:rsidR="00C26E5A" w:rsidRPr="00A66FA5">
        <w:rPr>
          <w:rFonts w:ascii="Segoe UI" w:hAnsi="Segoe UI" w:cs="Segoe UI"/>
        </w:rPr>
        <w:t xml:space="preserve">vedenog može se zaključiti da </w:t>
      </w:r>
      <w:r w:rsidRPr="00A66FA5">
        <w:rPr>
          <w:rFonts w:ascii="Segoe UI" w:hAnsi="Segoe UI" w:cs="Segoe UI"/>
          <w:lang w:val="vi-VN"/>
        </w:rPr>
        <w:t xml:space="preserve">obaveza </w:t>
      </w:r>
      <w:r w:rsidRPr="00A66FA5">
        <w:rPr>
          <w:rFonts w:ascii="Segoe UI" w:hAnsi="Segoe UI" w:cs="Segoe UI"/>
        </w:rPr>
        <w:t xml:space="preserve">da zahteva dostavljanje dokaza </w:t>
      </w:r>
      <w:r w:rsidRPr="00A66FA5">
        <w:rPr>
          <w:rFonts w:ascii="Segoe UI" w:hAnsi="Segoe UI" w:cs="Segoe UI"/>
          <w:lang w:val="vi-VN"/>
        </w:rPr>
        <w:t xml:space="preserve">nastaje tek u </w:t>
      </w:r>
      <w:r w:rsidRPr="00A66FA5">
        <w:rPr>
          <w:rFonts w:ascii="Segoe UI" w:hAnsi="Segoe UI" w:cs="Segoe UI"/>
        </w:rPr>
        <w:t>drugoj fazi, kada se podnose ponude</w:t>
      </w:r>
      <w:r w:rsidRPr="004810C7">
        <w:rPr>
          <w:rStyle w:val="FootnoteReference"/>
          <w:rFonts w:ascii="Segoe UI" w:hAnsi="Segoe UI" w:cs="Segoe UI"/>
        </w:rPr>
        <w:footnoteReference w:id="18"/>
      </w:r>
      <w:r w:rsidRPr="004810C7">
        <w:rPr>
          <w:rFonts w:ascii="Segoe UI" w:hAnsi="Segoe UI" w:cs="Segoe UI"/>
        </w:rPr>
        <w:t xml:space="preserve">. </w:t>
      </w:r>
      <w:r w:rsidR="00C26E5A">
        <w:rPr>
          <w:rFonts w:ascii="Segoe UI" w:hAnsi="Segoe UI" w:cs="Segoe UI"/>
        </w:rPr>
        <w:t>S druge strane</w:t>
      </w:r>
      <w:r w:rsidR="00E85156">
        <w:rPr>
          <w:rFonts w:ascii="Segoe UI" w:hAnsi="Segoe UI" w:cs="Segoe UI"/>
        </w:rPr>
        <w:t xml:space="preserve">, saglasno </w:t>
      </w:r>
      <w:r w:rsidR="00C26E5A">
        <w:rPr>
          <w:rFonts w:ascii="Segoe UI" w:hAnsi="Segoe UI" w:cs="Segoe UI"/>
        </w:rPr>
        <w:t>članu 119. stav 3. ZJN-a, ako</w:t>
      </w:r>
      <w:r w:rsidR="00935DA7" w:rsidRPr="004810C7">
        <w:rPr>
          <w:rFonts w:ascii="Segoe UI" w:hAnsi="Segoe UI" w:cs="Segoe UI"/>
          <w:lang w:val="vi-VN"/>
        </w:rPr>
        <w:t xml:space="preserve"> </w:t>
      </w:r>
      <w:r w:rsidR="001C2861" w:rsidRPr="004810C7">
        <w:rPr>
          <w:rFonts w:ascii="Segoe UI" w:hAnsi="Segoe UI" w:cs="Segoe UI"/>
        </w:rPr>
        <w:t xml:space="preserve">je </w:t>
      </w:r>
      <w:r w:rsidR="00935DA7" w:rsidRPr="004810C7">
        <w:rPr>
          <w:rFonts w:ascii="Segoe UI" w:hAnsi="Segoe UI" w:cs="Segoe UI"/>
          <w:lang w:val="vi-VN"/>
        </w:rPr>
        <w:t xml:space="preserve">potrebno za pravilno sprovođenje postupka, naručilac može </w:t>
      </w:r>
      <w:r w:rsidR="0081499E" w:rsidRPr="004810C7">
        <w:rPr>
          <w:rFonts w:ascii="Segoe UI" w:hAnsi="Segoe UI" w:cs="Segoe UI"/>
        </w:rPr>
        <w:t>t</w:t>
      </w:r>
      <w:r w:rsidR="0081499E" w:rsidRPr="004810C7">
        <w:rPr>
          <w:rFonts w:ascii="Segoe UI" w:hAnsi="Segoe UI" w:cs="Segoe UI"/>
          <w:lang w:val="vi-VN"/>
        </w:rPr>
        <w:t xml:space="preserve">okom čitavog perioda trajanja SDN-a, </w:t>
      </w:r>
      <w:r w:rsidR="00935DA7" w:rsidRPr="004810C7">
        <w:rPr>
          <w:rFonts w:ascii="Segoe UI" w:hAnsi="Segoe UI" w:cs="Segoe UI"/>
          <w:lang w:val="vi-VN"/>
        </w:rPr>
        <w:t>da zatraži od kandidata da dostave sve dokaze ili deo dokaza o ispunjenosti kriterijuma radi provere podataka navedenih u izjavi</w:t>
      </w:r>
      <w:r w:rsidR="00C26E5A">
        <w:rPr>
          <w:rFonts w:ascii="Segoe UI" w:hAnsi="Segoe UI" w:cs="Segoe UI"/>
        </w:rPr>
        <w:t>.</w:t>
      </w:r>
      <w:r w:rsidR="001C2861" w:rsidRPr="004810C7">
        <w:rPr>
          <w:rFonts w:ascii="Segoe UI" w:hAnsi="Segoe UI" w:cs="Segoe U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0C7B" w14:paraId="139879C7" w14:textId="77777777" w:rsidTr="009C0C7B">
        <w:tc>
          <w:tcPr>
            <w:tcW w:w="9016" w:type="dxa"/>
            <w:shd w:val="clear" w:color="auto" w:fill="A7E8A4" w:themeFill="accent3" w:themeFillTint="99"/>
          </w:tcPr>
          <w:p w14:paraId="6A713202" w14:textId="59B4AB6C" w:rsidR="009C0C7B" w:rsidRDefault="009C0C7B" w:rsidP="00BC441B">
            <w:pPr>
              <w:pStyle w:val="NormalWeb"/>
              <w:jc w:val="both"/>
              <w:rPr>
                <w:rFonts w:ascii="Segoe UI" w:hAnsi="Segoe UI" w:cs="Segoe UI"/>
              </w:rPr>
            </w:pPr>
            <w:r w:rsidRPr="00415315">
              <w:rPr>
                <w:rFonts w:ascii="Segoe UI" w:hAnsi="Segoe UI" w:cs="Segoe UI"/>
                <w:b/>
                <w:i/>
              </w:rPr>
              <w:t>Preporuk</w:t>
            </w:r>
            <w:r>
              <w:rPr>
                <w:rFonts w:ascii="Segoe UI" w:hAnsi="Segoe UI" w:cs="Segoe UI"/>
                <w:b/>
                <w:i/>
              </w:rPr>
              <w:t>a</w:t>
            </w:r>
            <w:r w:rsidRPr="00415315">
              <w:rPr>
                <w:rFonts w:ascii="Segoe UI" w:hAnsi="Segoe UI" w:cs="Segoe UI"/>
                <w:b/>
                <w:i/>
              </w:rPr>
              <w:t xml:space="preserve">: </w:t>
            </w:r>
            <w:r w:rsidRPr="009C0C7B">
              <w:rPr>
                <w:rFonts w:ascii="Segoe UI" w:hAnsi="Segoe UI" w:cs="Segoe UI"/>
                <w:i/>
                <w:lang w:val="vi-VN"/>
              </w:rPr>
              <w:t xml:space="preserve">Ukoliko naručilac </w:t>
            </w:r>
            <w:r w:rsidR="005452E7">
              <w:rPr>
                <w:rFonts w:ascii="Segoe UI" w:hAnsi="Segoe UI" w:cs="Segoe UI"/>
                <w:i/>
              </w:rPr>
              <w:t>u skladu sa članom 64. ZJN</w:t>
            </w:r>
            <w:r w:rsidR="005452E7">
              <w:rPr>
                <w:rStyle w:val="FootnoteReference"/>
                <w:rFonts w:ascii="Segoe UI" w:hAnsi="Segoe UI" w:cs="Segoe UI"/>
                <w:i/>
              </w:rPr>
              <w:footnoteReference w:id="19"/>
            </w:r>
            <w:r w:rsidR="005452E7">
              <w:rPr>
                <w:rFonts w:ascii="Segoe UI" w:hAnsi="Segoe UI" w:cs="Segoe UI"/>
                <w:i/>
              </w:rPr>
              <w:t xml:space="preserve"> </w:t>
            </w:r>
            <w:r w:rsidRPr="009C0C7B">
              <w:rPr>
                <w:rFonts w:ascii="Segoe UI" w:hAnsi="Segoe UI" w:cs="Segoe UI"/>
                <w:i/>
                <w:lang w:val="vi-VN"/>
              </w:rPr>
              <w:t>koristi mogućnost ograničenja broja kandidata koji će biti pozvani da podnesu ponudu, preporuka je da se dokazi traže u okviru prve faze. Npr. ukoliko je prijavu podnelo 10 kandidata, a naručilac pozvao 5, može se desiti da dokaze ne mogu da dostave neki od pozvanih 5, ali da mogu neki od preostalih 5 koje nije pozvao.</w:t>
            </w:r>
          </w:p>
        </w:tc>
      </w:tr>
    </w:tbl>
    <w:p w14:paraId="69239FAA" w14:textId="77777777" w:rsidR="00570BDE" w:rsidRDefault="00DC12FC" w:rsidP="009D29F3">
      <w:pPr>
        <w:pStyle w:val="NormalWeb"/>
        <w:jc w:val="both"/>
        <w:rPr>
          <w:rFonts w:ascii="Segoe UI" w:hAnsi="Segoe UI" w:cs="Segoe UI"/>
        </w:rPr>
      </w:pPr>
      <w:r w:rsidRPr="004810C7">
        <w:rPr>
          <w:rFonts w:ascii="Segoe UI" w:hAnsi="Segoe UI" w:cs="Segoe UI"/>
        </w:rPr>
        <w:t>Pored toga, n</w:t>
      </w:r>
      <w:r w:rsidR="00004A3D" w:rsidRPr="004810C7">
        <w:rPr>
          <w:rFonts w:ascii="Segoe UI" w:hAnsi="Segoe UI" w:cs="Segoe UI"/>
          <w:lang w:val="vi-VN"/>
        </w:rPr>
        <w:t>aručilac može u bilo kom trenutku tokom perioda trajanja SDN-a od odabranih kandidata</w:t>
      </w:r>
      <w:r w:rsidR="00EA6E5C">
        <w:rPr>
          <w:rFonts w:ascii="Segoe UI" w:hAnsi="Segoe UI" w:cs="Segoe UI"/>
        </w:rPr>
        <w:t>,</w:t>
      </w:r>
      <w:r w:rsidR="00004A3D" w:rsidRPr="004810C7">
        <w:rPr>
          <w:rFonts w:ascii="Segoe UI" w:hAnsi="Segoe UI" w:cs="Segoe UI"/>
          <w:lang w:val="vi-VN"/>
        </w:rPr>
        <w:t xml:space="preserve"> koji su uklјučeni u sistem</w:t>
      </w:r>
      <w:r w:rsidR="00EA6E5C">
        <w:rPr>
          <w:rFonts w:ascii="Segoe UI" w:hAnsi="Segoe UI" w:cs="Segoe UI"/>
        </w:rPr>
        <w:t>,</w:t>
      </w:r>
      <w:r w:rsidR="00004A3D" w:rsidRPr="004810C7">
        <w:rPr>
          <w:rFonts w:ascii="Segoe UI" w:hAnsi="Segoe UI" w:cs="Segoe UI"/>
          <w:lang w:val="vi-VN"/>
        </w:rPr>
        <w:t xml:space="preserve"> da zahteva dostavlјanje obnovlјene i </w:t>
      </w:r>
      <w:r w:rsidR="00004A3D" w:rsidRPr="004810C7">
        <w:rPr>
          <w:rFonts w:ascii="Segoe UI" w:hAnsi="Segoe UI" w:cs="Segoe UI"/>
          <w:lang w:val="vi-VN"/>
        </w:rPr>
        <w:lastRenderedPageBreak/>
        <w:t xml:space="preserve">usklađene </w:t>
      </w:r>
      <w:r w:rsidR="00004A3D" w:rsidRPr="004810C7">
        <w:rPr>
          <w:rFonts w:ascii="Segoe UI" w:hAnsi="Segoe UI" w:cs="Segoe UI"/>
        </w:rPr>
        <w:t>izjave o ispunjenosti kriterijuma za kvalitativni izbor privrednog subjekta u roku od pet radnih dana od dana dostavlјanja zahteva kandidatu</w:t>
      </w:r>
      <w:r w:rsidRPr="004810C7">
        <w:rPr>
          <w:rStyle w:val="FootnoteReference"/>
          <w:rFonts w:ascii="Segoe UI" w:hAnsi="Segoe UI" w:cs="Segoe UI"/>
        </w:rPr>
        <w:footnoteReference w:id="20"/>
      </w:r>
      <w:r w:rsidR="00004A3D" w:rsidRPr="004810C7">
        <w:rPr>
          <w:rFonts w:ascii="Segoe UI" w:hAnsi="Segoe UI" w:cs="Segoe UI"/>
        </w:rPr>
        <w:t xml:space="preserve">. </w:t>
      </w:r>
    </w:p>
    <w:p w14:paraId="18313F7F" w14:textId="7B9047E9" w:rsidR="00DD6CE6" w:rsidRPr="004810C7" w:rsidRDefault="001B0941" w:rsidP="009D29F3">
      <w:pPr>
        <w:pStyle w:val="NormalWeb"/>
        <w:jc w:val="both"/>
        <w:rPr>
          <w:rFonts w:ascii="Segoe UI" w:hAnsi="Segoe UI" w:cs="Segoe UI"/>
        </w:rPr>
      </w:pPr>
      <w:r w:rsidRPr="004810C7">
        <w:rPr>
          <w:rFonts w:ascii="Segoe UI" w:hAnsi="Segoe UI" w:cs="Segoe UI"/>
        </w:rPr>
        <w:t xml:space="preserve">Nakon ocene prijava naručilac sačinjava </w:t>
      </w:r>
      <w:r w:rsidR="004717F3" w:rsidRPr="004810C7">
        <w:rPr>
          <w:rFonts w:ascii="Segoe UI" w:hAnsi="Segoe UI" w:cs="Segoe UI"/>
        </w:rPr>
        <w:t>i</w:t>
      </w:r>
      <w:r w:rsidRPr="004810C7">
        <w:rPr>
          <w:rFonts w:ascii="Segoe UI" w:hAnsi="Segoe UI" w:cs="Segoe UI"/>
        </w:rPr>
        <w:t>zveštaj</w:t>
      </w:r>
      <w:r w:rsidR="004717F3" w:rsidRPr="004810C7">
        <w:rPr>
          <w:rFonts w:ascii="Segoe UI" w:hAnsi="Segoe UI" w:cs="Segoe UI"/>
        </w:rPr>
        <w:t xml:space="preserve"> u skladu sa članom 145. ZJN-a</w:t>
      </w:r>
      <w:r w:rsidR="008B4B4B" w:rsidRPr="004810C7">
        <w:rPr>
          <w:rFonts w:ascii="Segoe UI" w:hAnsi="Segoe UI" w:cs="Segoe UI"/>
        </w:rPr>
        <w:t xml:space="preserve"> i svim kandidatima dostavlja bez odlaganja odluku o rezultatima ocene prijava</w:t>
      </w:r>
      <w:r w:rsidR="00DD6CE6" w:rsidRPr="004810C7">
        <w:rPr>
          <w:rFonts w:ascii="Segoe UI" w:hAnsi="Segoe UI" w:cs="Segoe UI"/>
        </w:rPr>
        <w:t>. To podrazumeva</w:t>
      </w:r>
      <w:r w:rsidR="0033584E" w:rsidRPr="004810C7">
        <w:rPr>
          <w:rFonts w:ascii="Segoe UI" w:hAnsi="Segoe UI" w:cs="Segoe UI"/>
        </w:rPr>
        <w:t xml:space="preserve"> donošenje posebnih odluka i to</w:t>
      </w:r>
      <w:r w:rsidR="00DD6CE6" w:rsidRPr="004810C7">
        <w:rPr>
          <w:rFonts w:ascii="Segoe UI" w:hAnsi="Segoe UI" w:cs="Segoe UI"/>
        </w:rPr>
        <w:t>:</w:t>
      </w:r>
    </w:p>
    <w:p w14:paraId="2BE0B0AF" w14:textId="5284D707" w:rsidR="00DD6CE6" w:rsidRPr="004810C7" w:rsidRDefault="00DD6CE6" w:rsidP="00B7087D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Segoe UI" w:hAnsi="Segoe UI" w:cs="Segoe UI"/>
        </w:rPr>
      </w:pPr>
      <w:r w:rsidRPr="004810C7">
        <w:rPr>
          <w:rFonts w:ascii="Segoe UI" w:hAnsi="Segoe UI" w:cs="Segoe UI"/>
        </w:rPr>
        <w:t xml:space="preserve">odluke o prijemu </w:t>
      </w:r>
      <w:r w:rsidR="0033584E" w:rsidRPr="004810C7">
        <w:rPr>
          <w:rFonts w:ascii="Segoe UI" w:hAnsi="Segoe UI" w:cs="Segoe UI"/>
        </w:rPr>
        <w:t xml:space="preserve">u </w:t>
      </w:r>
      <w:r w:rsidRPr="004810C7">
        <w:rPr>
          <w:rFonts w:ascii="Segoe UI" w:hAnsi="Segoe UI" w:cs="Segoe UI"/>
        </w:rPr>
        <w:t>SDN za kandidate kojima je priznata kvalifikacija;</w:t>
      </w:r>
    </w:p>
    <w:p w14:paraId="17F6FF83" w14:textId="0694884B" w:rsidR="00DD6CE6" w:rsidRPr="004810C7" w:rsidRDefault="00DD6CE6" w:rsidP="00B7087D">
      <w:pPr>
        <w:pStyle w:val="NormalWeb"/>
        <w:numPr>
          <w:ilvl w:val="0"/>
          <w:numId w:val="14"/>
        </w:numPr>
        <w:jc w:val="both"/>
        <w:rPr>
          <w:rFonts w:ascii="Segoe UI" w:hAnsi="Segoe UI" w:cs="Segoe UI"/>
        </w:rPr>
      </w:pPr>
      <w:r w:rsidRPr="004810C7">
        <w:rPr>
          <w:rFonts w:ascii="Segoe UI" w:hAnsi="Segoe UI" w:cs="Segoe UI"/>
        </w:rPr>
        <w:t xml:space="preserve">odluke </w:t>
      </w:r>
      <w:r w:rsidR="00831FAF" w:rsidRPr="004810C7">
        <w:rPr>
          <w:rFonts w:ascii="Segoe UI" w:hAnsi="Segoe UI" w:cs="Segoe UI"/>
        </w:rPr>
        <w:t xml:space="preserve">o isključenju kandidata sa </w:t>
      </w:r>
      <w:r w:rsidRPr="004810C7">
        <w:rPr>
          <w:rFonts w:ascii="Segoe UI" w:hAnsi="Segoe UI" w:cs="Segoe UI"/>
        </w:rPr>
        <w:t>obrazloženjem razloga zbog kojih mu nije priznata kvali</w:t>
      </w:r>
      <w:r w:rsidR="00831FAF" w:rsidRPr="004810C7">
        <w:rPr>
          <w:rFonts w:ascii="Segoe UI" w:hAnsi="Segoe UI" w:cs="Segoe UI"/>
        </w:rPr>
        <w:t>fikacija</w:t>
      </w:r>
      <w:r w:rsidR="0033584E" w:rsidRPr="004810C7">
        <w:rPr>
          <w:rStyle w:val="FootnoteReference"/>
          <w:rFonts w:ascii="Segoe UI" w:hAnsi="Segoe UI" w:cs="Segoe UI"/>
        </w:rPr>
        <w:footnoteReference w:id="21"/>
      </w:r>
      <w:r w:rsidR="00831FAF" w:rsidRPr="004810C7">
        <w:rPr>
          <w:rFonts w:ascii="Segoe UI" w:hAnsi="Segoe UI" w:cs="Segoe UI"/>
        </w:rPr>
        <w:t>.</w:t>
      </w:r>
    </w:p>
    <w:p w14:paraId="4FCA18F4" w14:textId="1CD1954C" w:rsidR="00831FAF" w:rsidRPr="004810C7" w:rsidRDefault="00831FAF" w:rsidP="001B0941">
      <w:pPr>
        <w:pStyle w:val="NormalWeb"/>
        <w:jc w:val="both"/>
        <w:rPr>
          <w:rFonts w:ascii="Segoe UI" w:hAnsi="Segoe UI" w:cs="Segoe UI"/>
          <w:lang w:val="vi-VN"/>
        </w:rPr>
      </w:pPr>
      <w:r w:rsidRPr="007538B6">
        <w:rPr>
          <w:rFonts w:ascii="Segoe UI" w:hAnsi="Segoe UI" w:cs="Segoe UI"/>
        </w:rPr>
        <w:t xml:space="preserve">Ove odluke se </w:t>
      </w:r>
      <w:r w:rsidR="008B4B4B" w:rsidRPr="007538B6">
        <w:rPr>
          <w:rFonts w:ascii="Segoe UI" w:hAnsi="Segoe UI" w:cs="Segoe UI"/>
        </w:rPr>
        <w:t>ne objavljuj</w:t>
      </w:r>
      <w:r w:rsidRPr="007538B6">
        <w:rPr>
          <w:rFonts w:ascii="Segoe UI" w:hAnsi="Segoe UI" w:cs="Segoe UI"/>
        </w:rPr>
        <w:t>u</w:t>
      </w:r>
      <w:r w:rsidR="008B4B4B" w:rsidRPr="007538B6">
        <w:rPr>
          <w:rFonts w:ascii="Segoe UI" w:hAnsi="Segoe UI" w:cs="Segoe UI"/>
        </w:rPr>
        <w:t xml:space="preserve"> već se svakom kandidatu dostavlja</w:t>
      </w:r>
      <w:r w:rsidRPr="007538B6">
        <w:rPr>
          <w:rFonts w:ascii="Segoe UI" w:hAnsi="Segoe UI" w:cs="Segoe UI"/>
        </w:rPr>
        <w:t>ju</w:t>
      </w:r>
      <w:r w:rsidR="008B4B4B" w:rsidRPr="007538B6">
        <w:rPr>
          <w:rFonts w:ascii="Segoe UI" w:hAnsi="Segoe UI" w:cs="Segoe UI"/>
        </w:rPr>
        <w:t xml:space="preserve"> ponaosob putem Portala.</w:t>
      </w:r>
      <w:r w:rsidR="008B4B4B" w:rsidRPr="004810C7">
        <w:rPr>
          <w:rFonts w:ascii="Segoe UI" w:hAnsi="Segoe UI" w:cs="Segoe UI"/>
        </w:rPr>
        <w:t xml:space="preserve"> </w:t>
      </w:r>
      <w:r w:rsidR="008B4B4B" w:rsidRPr="004810C7">
        <w:rPr>
          <w:rFonts w:ascii="Segoe UI" w:hAnsi="Segoe UI" w:cs="Segoe UI"/>
          <w:lang w:val="vi-VN"/>
        </w:rPr>
        <w:t xml:space="preserve">Prilikom dostavlјanja odluke, naručilac je dužan da sačuva informacije o ostalim kandidatima, što znači da se sačinjava posebna odluka za svakog kandidata. Razlog neotkrivanja informacija o kandidatima ogleda se u nameri zakonodavca da očuva integritet postupka, odnosno da se spreče potencijalni dogovori među ponuđačima prilikom podnošenja ponuda u drugoj fazi postupka, što je i razlog koji je uslovio da se prijave ne otvaraju javno. </w:t>
      </w:r>
    </w:p>
    <w:p w14:paraId="2F593431" w14:textId="26BAA43D" w:rsidR="008008D8" w:rsidRPr="004810C7" w:rsidRDefault="008008D8" w:rsidP="001B0941">
      <w:pPr>
        <w:pStyle w:val="NormalWeb"/>
        <w:jc w:val="both"/>
        <w:rPr>
          <w:rFonts w:ascii="Segoe UI" w:hAnsi="Segoe UI" w:cs="Segoe UI"/>
        </w:rPr>
      </w:pPr>
      <w:r w:rsidRPr="001F3D62">
        <w:rPr>
          <w:rFonts w:ascii="Segoe UI" w:hAnsi="Segoe UI" w:cs="Segoe UI"/>
        </w:rPr>
        <w:t>U praksi se postavilo pitanje da li naručilac ukoliko u inicijalnom roku ne dobije nijednu prijavu donosi odluku o obustavi postupka ili SDN ostaje otvoren za dalje podnošenje prijava. S obzirom na prirodu SDN-a, kao otvorenog sistema za kvalifikaciju kandidata, logičan je zaključak da se postupak ne obustavlja, već ostaje otvoren za dalje podnošenje prijava dok traje SDN.</w:t>
      </w:r>
      <w:r w:rsidRPr="004810C7">
        <w:rPr>
          <w:rFonts w:ascii="Segoe UI" w:hAnsi="Segoe UI" w:cs="Segoe UI"/>
        </w:rPr>
        <w:t xml:space="preserve"> </w:t>
      </w:r>
    </w:p>
    <w:p w14:paraId="6DDCEE9F" w14:textId="5D3C8D8D" w:rsidR="00107786" w:rsidRPr="00472ADD" w:rsidRDefault="00107786" w:rsidP="00107786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</w:rPr>
      </w:pPr>
      <w:r w:rsidRPr="00472ADD">
        <w:rPr>
          <w:rFonts w:ascii="Segoe UI" w:hAnsi="Segoe UI" w:cs="Segoe UI"/>
          <w:b/>
        </w:rPr>
        <w:t>Nakon svake nove podnete prijave:</w:t>
      </w:r>
    </w:p>
    <w:p w14:paraId="0797E991" w14:textId="197034F0" w:rsidR="00107786" w:rsidRDefault="00107786" w:rsidP="00B7087D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naručilac</w:t>
      </w:r>
      <w:r w:rsidRPr="0010778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prima</w:t>
      </w:r>
      <w:r w:rsidRPr="0010778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u</w:t>
      </w:r>
      <w:r w:rsidRPr="0010778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sanduče</w:t>
      </w:r>
      <w:r w:rsidRPr="0010778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na</w:t>
      </w:r>
      <w:r w:rsidRPr="0010778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Portalu</w:t>
      </w:r>
      <w:r w:rsidRPr="0010778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poruku</w:t>
      </w:r>
      <w:r w:rsidRPr="0010778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da</w:t>
      </w:r>
      <w:r w:rsidRPr="0010778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je</w:t>
      </w:r>
      <w:r w:rsidRPr="0010778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izvršeno</w:t>
      </w:r>
      <w:r w:rsidRPr="0010778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novo</w:t>
      </w:r>
      <w:r w:rsidRPr="0010778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otvaranje</w:t>
      </w:r>
      <w:r w:rsidRPr="0010778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prijava</w:t>
      </w:r>
      <w:r w:rsidRPr="00107786">
        <w:rPr>
          <w:rFonts w:ascii="Segoe UI" w:hAnsi="Segoe UI" w:cs="Segoe UI"/>
        </w:rPr>
        <w:t>;</w:t>
      </w:r>
    </w:p>
    <w:p w14:paraId="739C93E2" w14:textId="2AAA54EB" w:rsidR="00A25E4B" w:rsidRPr="00A25E4B" w:rsidRDefault="00A25E4B" w:rsidP="00B7087D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Portal </w:t>
      </w:r>
      <w:r w:rsidR="00107786">
        <w:rPr>
          <w:rFonts w:ascii="Segoe UI" w:hAnsi="Segoe UI" w:cs="Segoe UI"/>
        </w:rPr>
        <w:t>automatski</w:t>
      </w:r>
      <w:r w:rsidR="00107786" w:rsidRPr="00107786">
        <w:rPr>
          <w:rFonts w:ascii="Segoe UI" w:hAnsi="Segoe UI" w:cs="Segoe UI"/>
        </w:rPr>
        <w:t xml:space="preserve"> </w:t>
      </w:r>
      <w:r w:rsidR="00107786">
        <w:rPr>
          <w:rFonts w:ascii="Segoe UI" w:hAnsi="Segoe UI" w:cs="Segoe UI"/>
        </w:rPr>
        <w:t>kreira</w:t>
      </w:r>
      <w:r w:rsidR="00107786" w:rsidRPr="00107786">
        <w:rPr>
          <w:rFonts w:ascii="Segoe UI" w:hAnsi="Segoe UI" w:cs="Segoe UI"/>
        </w:rPr>
        <w:t xml:space="preserve"> </w:t>
      </w:r>
      <w:r w:rsidR="00107786">
        <w:rPr>
          <w:rFonts w:ascii="Segoe UI" w:hAnsi="Segoe UI" w:cs="Segoe UI"/>
        </w:rPr>
        <w:t>novi</w:t>
      </w:r>
      <w:r w:rsidR="00107786" w:rsidRPr="00107786">
        <w:rPr>
          <w:rFonts w:ascii="Segoe UI" w:hAnsi="Segoe UI" w:cs="Segoe UI"/>
        </w:rPr>
        <w:t xml:space="preserve"> </w:t>
      </w:r>
      <w:r w:rsidR="00107786">
        <w:rPr>
          <w:rFonts w:ascii="Segoe UI" w:hAnsi="Segoe UI" w:cs="Segoe UI"/>
        </w:rPr>
        <w:t>zapisnik</w:t>
      </w:r>
      <w:r w:rsidR="00107786" w:rsidRPr="00107786">
        <w:rPr>
          <w:rFonts w:ascii="Segoe UI" w:hAnsi="Segoe UI" w:cs="Segoe UI"/>
        </w:rPr>
        <w:t xml:space="preserve"> </w:t>
      </w:r>
      <w:r w:rsidR="00107786">
        <w:rPr>
          <w:rFonts w:ascii="Segoe UI" w:hAnsi="Segoe UI" w:cs="Segoe UI"/>
        </w:rPr>
        <w:t>o</w:t>
      </w:r>
      <w:r w:rsidR="00107786" w:rsidRPr="00107786">
        <w:rPr>
          <w:rFonts w:ascii="Segoe UI" w:hAnsi="Segoe UI" w:cs="Segoe UI"/>
        </w:rPr>
        <w:t xml:space="preserve"> </w:t>
      </w:r>
      <w:r w:rsidR="00107786">
        <w:rPr>
          <w:rFonts w:ascii="Segoe UI" w:hAnsi="Segoe UI" w:cs="Segoe UI"/>
        </w:rPr>
        <w:t>otvaranju</w:t>
      </w:r>
      <w:r w:rsidR="00107786" w:rsidRPr="00107786">
        <w:rPr>
          <w:rFonts w:ascii="Segoe UI" w:hAnsi="Segoe UI" w:cs="Segoe UI"/>
        </w:rPr>
        <w:t xml:space="preserve"> </w:t>
      </w:r>
      <w:r w:rsidR="00107786">
        <w:rPr>
          <w:rFonts w:ascii="Segoe UI" w:hAnsi="Segoe UI" w:cs="Segoe UI"/>
        </w:rPr>
        <w:t>prijava</w:t>
      </w:r>
      <w:r w:rsidR="00107786" w:rsidRPr="00107786">
        <w:rPr>
          <w:rFonts w:ascii="Segoe UI" w:hAnsi="Segoe UI" w:cs="Segoe UI"/>
        </w:rPr>
        <w:t>;</w:t>
      </w:r>
    </w:p>
    <w:p w14:paraId="1C13A665" w14:textId="124E9F5C" w:rsidR="00330B80" w:rsidRDefault="00107786" w:rsidP="00F87183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naručilac</w:t>
      </w:r>
      <w:r w:rsidRPr="0010778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sprovodi postupak</w:t>
      </w:r>
      <w:r w:rsidRPr="0010778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stručne</w:t>
      </w:r>
      <w:r w:rsidRPr="0010778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ocene</w:t>
      </w:r>
      <w:r w:rsidRPr="0010778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i</w:t>
      </w:r>
      <w:r w:rsidRPr="00107786">
        <w:rPr>
          <w:rFonts w:ascii="Segoe UI" w:hAnsi="Segoe UI" w:cs="Segoe UI"/>
        </w:rPr>
        <w:t xml:space="preserve"> </w:t>
      </w:r>
      <w:r w:rsidR="00A25E4B">
        <w:rPr>
          <w:rFonts w:ascii="Segoe UI" w:hAnsi="Segoe UI" w:cs="Segoe UI"/>
        </w:rPr>
        <w:t>prijem kandidata u sistem</w:t>
      </w:r>
      <w:r w:rsidR="0059565B">
        <w:rPr>
          <w:rFonts w:ascii="Segoe UI" w:hAnsi="Segoe UI" w:cs="Segoe UI"/>
        </w:rPr>
        <w:t xml:space="preserve"> u skladu</w:t>
      </w:r>
      <w:r w:rsidR="00271BB1">
        <w:rPr>
          <w:rFonts w:ascii="Segoe UI" w:hAnsi="Segoe UI" w:cs="Segoe UI"/>
        </w:rPr>
        <w:t xml:space="preserve"> sa</w:t>
      </w:r>
      <w:r w:rsidR="0059565B">
        <w:rPr>
          <w:rFonts w:ascii="Segoe UI" w:hAnsi="Segoe UI" w:cs="Segoe UI"/>
        </w:rPr>
        <w:t xml:space="preserve"> dokumentacijom o nabavci</w:t>
      </w:r>
      <w:r w:rsidRPr="00107786">
        <w:rPr>
          <w:rFonts w:ascii="Segoe UI" w:hAnsi="Segoe UI" w:cs="Segoe UI"/>
        </w:rPr>
        <w:t>.</w:t>
      </w:r>
    </w:p>
    <w:p w14:paraId="20794561" w14:textId="77777777" w:rsidR="00EB25A1" w:rsidRPr="00F87183" w:rsidRDefault="00EB25A1" w:rsidP="007621D7">
      <w:pPr>
        <w:pStyle w:val="NormalWeb"/>
        <w:spacing w:before="0" w:beforeAutospacing="0" w:after="0" w:afterAutospacing="0"/>
        <w:ind w:left="720"/>
        <w:jc w:val="both"/>
        <w:rPr>
          <w:rFonts w:ascii="Segoe UI" w:hAnsi="Segoe UI" w:cs="Segoe UI"/>
        </w:rPr>
      </w:pPr>
    </w:p>
    <w:p w14:paraId="16B4C867" w14:textId="0DC834AD" w:rsidR="008B4B4B" w:rsidRDefault="008B4B4B" w:rsidP="00EB25A1">
      <w:pPr>
        <w:pStyle w:val="Heading2"/>
        <w:numPr>
          <w:ilvl w:val="0"/>
          <w:numId w:val="25"/>
        </w:numPr>
        <w:rPr>
          <w:rFonts w:ascii="Segoe UI" w:eastAsiaTheme="minorHAnsi" w:hAnsi="Segoe UI" w:cs="Segoe UI"/>
          <w:b/>
          <w:bCs/>
          <w:color w:val="6EDA69"/>
          <w:sz w:val="40"/>
          <w:szCs w:val="40"/>
        </w:rPr>
      </w:pPr>
      <w:bookmarkStart w:id="10" w:name="_Toc183435403"/>
      <w:r w:rsidRPr="001C75B2">
        <w:rPr>
          <w:rFonts w:ascii="Segoe UI" w:eastAsiaTheme="minorHAnsi" w:hAnsi="Segoe UI" w:cs="Segoe UI"/>
          <w:b/>
          <w:bCs/>
          <w:color w:val="6EDA69"/>
          <w:sz w:val="40"/>
          <w:szCs w:val="40"/>
        </w:rPr>
        <w:t>Druga faza – dodela ugovora</w:t>
      </w:r>
      <w:bookmarkEnd w:id="10"/>
    </w:p>
    <w:p w14:paraId="028A46BB" w14:textId="77777777" w:rsidR="00EB25A1" w:rsidRPr="00EB25A1" w:rsidRDefault="00EB25A1" w:rsidP="00EB25A1">
      <w:pPr>
        <w:pStyle w:val="ListParagraph"/>
        <w:ind w:left="810"/>
      </w:pPr>
    </w:p>
    <w:p w14:paraId="034CCDDB" w14:textId="3AB5E72A" w:rsidR="00330B80" w:rsidRPr="00803BC7" w:rsidRDefault="00DC12FC" w:rsidP="00330B80">
      <w:pPr>
        <w:jc w:val="both"/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</w:pPr>
      <w:r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Druga faza podrazumeva sprovođenje pojedinačnih nabavki u okviru SDN-a</w:t>
      </w:r>
      <w:r w:rsidR="001809AF"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, odnosno </w:t>
      </w:r>
      <w:r w:rsidR="00DD6CE6"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</w:t>
      </w:r>
      <w:r w:rsidR="001809AF"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pozivanje</w:t>
      </w:r>
      <w:r w:rsidR="00DD6CE6"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sv</w:t>
      </w:r>
      <w:r w:rsidR="001809AF"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ih</w:t>
      </w:r>
      <w:r w:rsidR="00DD6CE6"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kandidat</w:t>
      </w:r>
      <w:r w:rsidR="001809AF"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a</w:t>
      </w:r>
      <w:r w:rsidR="00DD6CE6"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koji su uključeni u sistem da podnesu ponude za </w:t>
      </w:r>
      <w:r w:rsidR="0036712C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svaku </w:t>
      </w:r>
      <w:r w:rsidR="00DD6CE6"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konkretnu nabavku.</w:t>
      </w:r>
      <w:r w:rsidR="00570352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</w:t>
      </w:r>
    </w:p>
    <w:p w14:paraId="50407771" w14:textId="21727F16" w:rsidR="007621D7" w:rsidRDefault="00330B80" w:rsidP="0026046E">
      <w:pPr>
        <w:jc w:val="both"/>
        <w:rPr>
          <w:rFonts w:ascii="Segoe UI" w:hAnsi="Segoe UI" w:cs="Segoe UI"/>
          <w:sz w:val="24"/>
          <w:szCs w:val="24"/>
          <w:lang w:eastAsia="sr-Latn-RS"/>
        </w:rPr>
      </w:pPr>
      <w:r w:rsidRPr="00803BC7">
        <w:rPr>
          <w:rFonts w:ascii="Segoe UI" w:hAnsi="Segoe UI" w:cs="Segoe UI"/>
          <w:sz w:val="24"/>
          <w:szCs w:val="24"/>
          <w:lang w:eastAsia="sr-Latn-RS"/>
        </w:rPr>
        <w:lastRenderedPageBreak/>
        <w:t>Naručilac primenom fun</w:t>
      </w:r>
      <w:r w:rsidR="00260893">
        <w:rPr>
          <w:rFonts w:ascii="Segoe UI" w:hAnsi="Segoe UI" w:cs="Segoe UI"/>
          <w:sz w:val="24"/>
          <w:szCs w:val="24"/>
          <w:lang w:eastAsia="sr-Latn-RS"/>
        </w:rPr>
        <w:t>k</w:t>
      </w:r>
      <w:r w:rsidRPr="00803BC7">
        <w:rPr>
          <w:rFonts w:ascii="Segoe UI" w:hAnsi="Segoe UI" w:cs="Segoe UI"/>
          <w:sz w:val="24"/>
          <w:szCs w:val="24"/>
          <w:lang w:eastAsia="sr-Latn-RS"/>
        </w:rPr>
        <w:t>cionalnosti Portala</w:t>
      </w:r>
      <w:r w:rsidR="00803BC7" w:rsidRPr="00803BC7">
        <w:rPr>
          <w:rStyle w:val="FootnoteReference"/>
          <w:rFonts w:ascii="Segoe UI" w:hAnsi="Segoe UI" w:cs="Segoe UI"/>
          <w:sz w:val="24"/>
          <w:szCs w:val="24"/>
          <w:lang w:eastAsia="sr-Latn-RS"/>
        </w:rPr>
        <w:footnoteReference w:id="22"/>
      </w:r>
      <w:r w:rsidRPr="00803BC7">
        <w:rPr>
          <w:rFonts w:ascii="Segoe UI" w:hAnsi="Segoe UI" w:cs="Segoe UI"/>
          <w:sz w:val="24"/>
          <w:szCs w:val="24"/>
          <w:lang w:eastAsia="sr-Latn-RS"/>
        </w:rPr>
        <w:t xml:space="preserve"> </w:t>
      </w:r>
      <w:r w:rsidR="00D23864" w:rsidRPr="00803BC7">
        <w:rPr>
          <w:rFonts w:ascii="Segoe UI" w:hAnsi="Segoe UI" w:cs="Segoe UI"/>
          <w:sz w:val="24"/>
          <w:szCs w:val="24"/>
          <w:lang w:eastAsia="sr-Latn-RS"/>
        </w:rPr>
        <w:t>priprema poziv za podnošenje ponuda, odnosno dokumentaciju o nabavci</w:t>
      </w:r>
      <w:r w:rsidR="007621D7">
        <w:rPr>
          <w:rFonts w:ascii="Segoe UI" w:hAnsi="Segoe UI" w:cs="Segoe UI"/>
          <w:sz w:val="24"/>
          <w:szCs w:val="24"/>
          <w:lang w:eastAsia="sr-Latn-RS"/>
        </w:rPr>
        <w:t xml:space="preserve"> koju šalje kvalifikovanim kandidatima</w:t>
      </w:r>
      <w:bookmarkStart w:id="11" w:name="_Hlk182745599"/>
      <w:r w:rsidR="007621D7">
        <w:rPr>
          <w:rFonts w:ascii="Segoe UI" w:hAnsi="Segoe UI" w:cs="Segoe UI"/>
          <w:sz w:val="24"/>
          <w:szCs w:val="24"/>
          <w:lang w:eastAsia="sr-Latn-RS"/>
        </w:rPr>
        <w:t xml:space="preserve">. Dakle, u drugoj fazi postupka poziv, odnosno dokumentacija o nabavci se ne objavljuje već se dostavlja samo kvalifikovanim kandidatima.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3F43" w14:paraId="742D6563" w14:textId="77777777" w:rsidTr="00263F43">
        <w:tc>
          <w:tcPr>
            <w:tcW w:w="9016" w:type="dxa"/>
            <w:shd w:val="clear" w:color="auto" w:fill="A7E8A4" w:themeFill="accent3" w:themeFillTint="99"/>
          </w:tcPr>
          <w:p w14:paraId="4F1BAFA0" w14:textId="38D52BFA" w:rsidR="00263F43" w:rsidRPr="009C0C7B" w:rsidRDefault="00263F43" w:rsidP="00A04394">
            <w:pPr>
              <w:spacing w:after="160" w:line="259" w:lineRule="auto"/>
              <w:jc w:val="both"/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415315">
              <w:rPr>
                <w:rFonts w:ascii="Segoe UI" w:hAnsi="Segoe UI" w:cs="Segoe UI"/>
                <w:b/>
                <w:i/>
                <w:sz w:val="24"/>
                <w:szCs w:val="24"/>
              </w:rPr>
              <w:t>Preporuk</w:t>
            </w:r>
            <w:r w:rsidR="009C0C7B">
              <w:rPr>
                <w:rFonts w:ascii="Segoe UI" w:hAnsi="Segoe UI" w:cs="Segoe UI"/>
                <w:b/>
                <w:i/>
                <w:sz w:val="24"/>
                <w:szCs w:val="24"/>
              </w:rPr>
              <w:t>a</w:t>
            </w:r>
            <w:r w:rsidRPr="00415315">
              <w:rPr>
                <w:rFonts w:ascii="Segoe UI" w:hAnsi="Segoe UI" w:cs="Segoe UI"/>
                <w:b/>
                <w:i/>
                <w:sz w:val="24"/>
                <w:szCs w:val="24"/>
              </w:rPr>
              <w:t xml:space="preserve">: </w:t>
            </w:r>
            <w:r w:rsidRPr="00415315"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>ZJN-om nije propisana obaveza određivanj</w:t>
            </w:r>
            <w:r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>e</w:t>
            </w:r>
            <w:r w:rsidRPr="00415315"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 xml:space="preserve"> procenjene vrednosti pojedinačne nabavke, ali se naručiocima preporučuje da to učine</w:t>
            </w:r>
            <w:r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 xml:space="preserve">. U </w:t>
            </w:r>
            <w:r w:rsidRPr="00415315"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 xml:space="preserve">zavisnosti od predmeta nabavke, količine i karakteristika, na osnovu istraživanja tržišta </w:t>
            </w:r>
            <w:r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 xml:space="preserve">trebalo bi </w:t>
            </w:r>
            <w:r w:rsidRPr="00415315"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>odredi</w:t>
            </w:r>
            <w:r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>ti</w:t>
            </w:r>
            <w:r w:rsidRPr="00415315"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 xml:space="preserve"> procenjenu vrednost konkretne </w:t>
            </w:r>
            <w:r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 xml:space="preserve">pojedinačne </w:t>
            </w:r>
            <w:r w:rsidRPr="00415315"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>nabavke</w:t>
            </w:r>
            <w:r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 xml:space="preserve"> i to </w:t>
            </w:r>
            <w:r w:rsidRPr="00415315"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>internim dokumentom naručioca</w:t>
            </w:r>
            <w:r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 xml:space="preserve"> (npr.</w:t>
            </w:r>
            <w:r w:rsidRPr="00415315"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 xml:space="preserve"> kojim se inicira pojedinačna nabavka u SDN-u</w:t>
            </w:r>
            <w:r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>), što bi trebalo urediti</w:t>
            </w:r>
            <w:r w:rsidR="00213990"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 xml:space="preserve"> posebnim (</w:t>
            </w:r>
            <w:r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>interni</w:t>
            </w:r>
            <w:r w:rsidR="002F62E5"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>m</w:t>
            </w:r>
            <w:r w:rsidR="00213990"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>)</w:t>
            </w:r>
            <w:r w:rsidR="002F62E5"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>aktom naručioca iz člana 49.</w:t>
            </w:r>
            <w:r w:rsidR="00255443"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 xml:space="preserve"> stav 2. </w:t>
            </w:r>
            <w:r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>ZJN-a. Takođe, preporuka je da ovu procenjenu vrednost naručilac navede</w:t>
            </w:r>
            <w:r w:rsidRPr="00415315"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 xml:space="preserve"> u dokumentaciji o nabavci za svaku pojedinačnu nabavku</w:t>
            </w:r>
            <w:r>
              <w:rPr>
                <w:rFonts w:ascii="Segoe UI" w:eastAsia="Times New Roman" w:hAnsi="Segoe UI" w:cs="Segoe UI"/>
                <w:i/>
                <w:kern w:val="0"/>
                <w:sz w:val="24"/>
                <w:szCs w:val="24"/>
                <w:lang w:eastAsia="sr-Latn-RS"/>
                <w14:ligatures w14:val="none"/>
              </w:rPr>
              <w:t>.</w:t>
            </w:r>
          </w:p>
        </w:tc>
      </w:tr>
    </w:tbl>
    <w:p w14:paraId="52A6A723" w14:textId="30CD93F7" w:rsidR="007621D7" w:rsidRDefault="007621D7" w:rsidP="0026046E">
      <w:pPr>
        <w:jc w:val="both"/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</w:pPr>
    </w:p>
    <w:p w14:paraId="59B23A9A" w14:textId="7DDDF694" w:rsidR="00263F43" w:rsidRDefault="00263F43" w:rsidP="0026046E">
      <w:pPr>
        <w:jc w:val="both"/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</w:pPr>
      <w:r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Uzimajuć</w:t>
      </w:r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i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u obzir da postoji jasna razl</w:t>
      </w:r>
      <w:r w:rsidR="00594DE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i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ka 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između prve i druge faze 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postupka, odnosno da se p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rva faza 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odnosi 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samo 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na 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kvalifikacij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u privrednih subjekata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, 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a 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druga 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na 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podnošenje ponude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,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to se 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sadržina dokumentacije za prvu, odnosno drugu fazu 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i način postupanja </w:t>
      </w:r>
      <w:r w:rsidRPr="00803B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međusobno razlikuju.</w:t>
      </w:r>
    </w:p>
    <w:bookmarkEnd w:id="11"/>
    <w:p w14:paraId="7F45EFD9" w14:textId="644C6DEA" w:rsidR="0033584E" w:rsidRDefault="0033584E" w:rsidP="0033584E">
      <w:pPr>
        <w:tabs>
          <w:tab w:val="left" w:pos="720"/>
        </w:tabs>
        <w:suppressAutoHyphens/>
        <w:ind w:left="-15" w:right="48"/>
        <w:jc w:val="center"/>
        <w:rPr>
          <w:rFonts w:ascii="Segoe UI" w:hAnsi="Segoe UI" w:cs="Segoe UI"/>
          <w:i/>
          <w:sz w:val="24"/>
          <w:szCs w:val="24"/>
        </w:rPr>
      </w:pPr>
      <w:r w:rsidRPr="00DC7523">
        <w:rPr>
          <w:rFonts w:ascii="Segoe UI" w:hAnsi="Segoe UI" w:cs="Segoe UI"/>
          <w:i/>
          <w:sz w:val="24"/>
          <w:szCs w:val="24"/>
        </w:rPr>
        <w:t>Ključni koraci u drugoj fazi postupka</w:t>
      </w:r>
    </w:p>
    <w:p w14:paraId="63219262" w14:textId="0EA62F7A" w:rsidR="007621D7" w:rsidRDefault="005F1AED" w:rsidP="0033584E">
      <w:pPr>
        <w:tabs>
          <w:tab w:val="left" w:pos="720"/>
        </w:tabs>
        <w:suppressAutoHyphens/>
        <w:ind w:left="-15" w:right="48"/>
        <w:jc w:val="center"/>
        <w:rPr>
          <w:rFonts w:ascii="Segoe UI" w:hAnsi="Segoe UI" w:cs="Segoe UI"/>
          <w:i/>
          <w:sz w:val="24"/>
          <w:szCs w:val="24"/>
        </w:rPr>
      </w:pPr>
      <w:r w:rsidRPr="00DC7523">
        <w:rPr>
          <w:rFonts w:ascii="Segoe UI" w:hAnsi="Segoe UI" w:cs="Segoe UI"/>
          <w:i/>
          <w:noProof/>
          <w:sz w:val="24"/>
          <w:szCs w:val="24"/>
        </w:rPr>
        <w:drawing>
          <wp:inline distT="0" distB="0" distL="0" distR="0" wp14:anchorId="18780B34" wp14:editId="4DA18F93">
            <wp:extent cx="5438775" cy="1581150"/>
            <wp:effectExtent l="0" t="0" r="2857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6F1E7020" w14:textId="77777777" w:rsidR="00813A85" w:rsidRDefault="00813A85" w:rsidP="00813A85">
      <w:pPr>
        <w:pStyle w:val="ListParagraph"/>
        <w:jc w:val="both"/>
        <w:rPr>
          <w:rFonts w:ascii="Segoe UI" w:eastAsia="Times New Roman" w:hAnsi="Segoe UI" w:cs="Segoe UI"/>
          <w:b/>
          <w:kern w:val="0"/>
          <w:sz w:val="24"/>
          <w:szCs w:val="24"/>
          <w:lang w:eastAsia="sr-Latn-RS"/>
          <w14:ligatures w14:val="none"/>
        </w:rPr>
      </w:pPr>
    </w:p>
    <w:p w14:paraId="53EA2F66" w14:textId="5FEF01A1" w:rsidR="00CB1709" w:rsidRPr="004810C7" w:rsidRDefault="00CB1709" w:rsidP="00B7087D">
      <w:pPr>
        <w:pStyle w:val="ListParagraph"/>
        <w:numPr>
          <w:ilvl w:val="0"/>
          <w:numId w:val="18"/>
        </w:numPr>
        <w:jc w:val="both"/>
        <w:rPr>
          <w:rFonts w:ascii="Segoe UI" w:eastAsia="Times New Roman" w:hAnsi="Segoe UI" w:cs="Segoe UI"/>
          <w:b/>
          <w:kern w:val="0"/>
          <w:sz w:val="24"/>
          <w:szCs w:val="24"/>
          <w:lang w:eastAsia="sr-Latn-RS"/>
          <w14:ligatures w14:val="none"/>
        </w:rPr>
      </w:pPr>
      <w:r w:rsidRPr="004810C7">
        <w:rPr>
          <w:rFonts w:ascii="Segoe UI" w:eastAsia="Times New Roman" w:hAnsi="Segoe UI" w:cs="Segoe UI"/>
          <w:b/>
          <w:kern w:val="0"/>
          <w:sz w:val="24"/>
          <w:szCs w:val="24"/>
          <w:lang w:eastAsia="sr-Latn-RS"/>
          <w14:ligatures w14:val="none"/>
        </w:rPr>
        <w:t>Pozivanje kvalifikovanih kandidata da podnesu ponudu</w:t>
      </w:r>
    </w:p>
    <w:p w14:paraId="317CC7ED" w14:textId="59EE0832" w:rsidR="00877B4D" w:rsidRPr="004810C7" w:rsidRDefault="001809AF" w:rsidP="008B4B4B">
      <w:pPr>
        <w:jc w:val="both"/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</w:pPr>
      <w:r w:rsidRP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Z</w:t>
      </w:r>
      <w:r w:rsidR="00CB1709" w:rsidRP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a svaki pojedinačni ugovor koji namerava da zaključi</w:t>
      </w:r>
      <w:r w:rsid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,</w:t>
      </w:r>
      <w:r w:rsidRP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naručilac</w:t>
      </w:r>
      <w:r w:rsidR="00CB1709" w:rsidRP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</w:t>
      </w:r>
      <w:r w:rsidR="0033584E" w:rsidRP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priprema poziv za podnošenje ponuda</w:t>
      </w:r>
      <w:r w:rsidRPr="004810C7">
        <w:rPr>
          <w:rStyle w:val="FootnoteReference"/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footnoteReference w:id="23"/>
      </w:r>
      <w:r w:rsidR="0033584E" w:rsidRP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, odnosno dokumentaci</w:t>
      </w:r>
      <w:r w:rsidR="00CB1709" w:rsidRP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ju koju putem Portala istovre</w:t>
      </w:r>
      <w:r w:rsidR="00C9174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me</w:t>
      </w:r>
      <w:r w:rsidR="00CB1709" w:rsidRP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no dostavlja svim kandidatima kojima je priznata kvalifikacija</w:t>
      </w:r>
      <w:r w:rsidR="008B4B4B"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.</w:t>
      </w:r>
      <w:r w:rsidR="00CB1709" w:rsidRP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</w:t>
      </w:r>
      <w:r w:rsidR="007621D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U situaciji u kojoj je SDN podeljen na kategorije dobara, usluga ili radova, pozivaju se svi kandidati koji imaju pristup kategoriji koja odgovara konkretnoj pojedinačnoj nabavci.</w:t>
      </w:r>
    </w:p>
    <w:p w14:paraId="10B69A79" w14:textId="397D8B40" w:rsidR="00186AFC" w:rsidRDefault="00877B4D" w:rsidP="00F83226">
      <w:pPr>
        <w:pStyle w:val="NormalWeb"/>
        <w:jc w:val="both"/>
        <w:rPr>
          <w:rFonts w:ascii="Segoe UI" w:hAnsi="Segoe UI" w:cs="Segoe UI"/>
          <w:lang w:val="vi-VN"/>
        </w:rPr>
      </w:pPr>
      <w:r w:rsidRPr="004810C7">
        <w:rPr>
          <w:rFonts w:ascii="Segoe UI" w:hAnsi="Segoe UI" w:cs="Segoe UI"/>
        </w:rPr>
        <w:lastRenderedPageBreak/>
        <w:t xml:space="preserve">Minimalni rok za podnošenje ponuda je </w:t>
      </w:r>
      <w:r w:rsidRPr="004810C7">
        <w:rPr>
          <w:rFonts w:ascii="Segoe UI" w:hAnsi="Segoe UI" w:cs="Segoe UI"/>
          <w:b/>
        </w:rPr>
        <w:t>10 dana od dana slanja poziva</w:t>
      </w:r>
      <w:r w:rsidR="00803BC7">
        <w:rPr>
          <w:rStyle w:val="FootnoteReference"/>
          <w:rFonts w:ascii="Segoe UI" w:hAnsi="Segoe UI" w:cs="Segoe UI"/>
          <w:b/>
        </w:rPr>
        <w:footnoteReference w:id="24"/>
      </w:r>
      <w:r w:rsidRPr="004810C7">
        <w:rPr>
          <w:rFonts w:ascii="Segoe UI" w:hAnsi="Segoe UI" w:cs="Segoe UI"/>
        </w:rPr>
        <w:t xml:space="preserve"> za podnošenje ponuda kandidatima koji su primlj</w:t>
      </w:r>
      <w:r w:rsidR="00B8093A">
        <w:rPr>
          <w:rFonts w:ascii="Segoe UI" w:hAnsi="Segoe UI" w:cs="Segoe UI"/>
        </w:rPr>
        <w:t>e</w:t>
      </w:r>
      <w:r w:rsidRPr="004810C7">
        <w:rPr>
          <w:rFonts w:ascii="Segoe UI" w:hAnsi="Segoe UI" w:cs="Segoe UI"/>
        </w:rPr>
        <w:t xml:space="preserve">ni u sistem. Sektorski naručilac ima mogućnost da primeni </w:t>
      </w:r>
      <w:r w:rsidR="002F62E5">
        <w:rPr>
          <w:rFonts w:ascii="Segoe UI" w:hAnsi="Segoe UI" w:cs="Segoe UI"/>
        </w:rPr>
        <w:t xml:space="preserve">i kraći </w:t>
      </w:r>
      <w:r w:rsidRPr="004810C7">
        <w:rPr>
          <w:rFonts w:ascii="Segoe UI" w:hAnsi="Segoe UI" w:cs="Segoe UI"/>
        </w:rPr>
        <w:t xml:space="preserve">rok </w:t>
      </w:r>
      <w:r w:rsidR="002F62E5">
        <w:rPr>
          <w:rFonts w:ascii="Segoe UI" w:hAnsi="Segoe UI" w:cs="Segoe UI"/>
        </w:rPr>
        <w:t xml:space="preserve">ako za to postoji </w:t>
      </w:r>
      <w:r w:rsidRPr="004810C7">
        <w:rPr>
          <w:rFonts w:ascii="Segoe UI" w:hAnsi="Segoe UI" w:cs="Segoe UI"/>
        </w:rPr>
        <w:t>saglasnost svih kandidata</w:t>
      </w:r>
      <w:r w:rsidR="002F62E5">
        <w:rPr>
          <w:rFonts w:ascii="Segoe UI" w:hAnsi="Segoe UI" w:cs="Segoe UI"/>
        </w:rPr>
        <w:t xml:space="preserve"> u SDN-u,</w:t>
      </w:r>
      <w:r w:rsidRPr="004810C7">
        <w:rPr>
          <w:rFonts w:ascii="Segoe UI" w:hAnsi="Segoe UI" w:cs="Segoe UI"/>
        </w:rPr>
        <w:t xml:space="preserve"> tako da svi kandidati u postupku imaju isti rok za pripremu i podnošenje ponuda</w:t>
      </w:r>
      <w:r w:rsidRPr="004810C7">
        <w:rPr>
          <w:rStyle w:val="FootnoteReference"/>
          <w:rFonts w:ascii="Segoe UI" w:hAnsi="Segoe UI" w:cs="Segoe UI"/>
        </w:rPr>
        <w:footnoteReference w:id="25"/>
      </w:r>
      <w:r w:rsidRPr="004810C7">
        <w:rPr>
          <w:rFonts w:ascii="Segoe UI" w:hAnsi="Segoe UI" w:cs="Segoe UI"/>
        </w:rPr>
        <w:t xml:space="preserve">. </w:t>
      </w:r>
      <w:r w:rsidR="00F83226" w:rsidRPr="004810C7">
        <w:rPr>
          <w:rFonts w:ascii="Segoe UI" w:hAnsi="Segoe UI" w:cs="Segoe UI"/>
          <w:lang w:val="sr-Cyrl-RS"/>
        </w:rPr>
        <w:t xml:space="preserve">Ako ne postoji saglasnost o roku za podnošenje ponuda, minimalni rok za podnošenje ponuda je </w:t>
      </w:r>
      <w:r w:rsidR="00F83226" w:rsidRPr="004810C7">
        <w:rPr>
          <w:rFonts w:ascii="Segoe UI" w:hAnsi="Segoe UI" w:cs="Segoe UI"/>
          <w:lang w:val="vi-VN"/>
        </w:rPr>
        <w:t xml:space="preserve">najmanje deset dana od dana slanja poziva za podnošenje ponuda. </w:t>
      </w:r>
    </w:p>
    <w:p w14:paraId="60CAD85F" w14:textId="3C1B281D" w:rsidR="00F83226" w:rsidRPr="0073266C" w:rsidRDefault="0073266C" w:rsidP="00F83226">
      <w:pPr>
        <w:pStyle w:val="NormalWeb"/>
        <w:jc w:val="both"/>
        <w:rPr>
          <w:rFonts w:ascii="Segoe UI" w:hAnsi="Segoe UI" w:cs="Segoe UI"/>
        </w:rPr>
      </w:pPr>
      <w:r w:rsidRPr="001F3D62">
        <w:rPr>
          <w:rFonts w:ascii="Segoe UI" w:hAnsi="Segoe UI" w:cs="Segoe UI"/>
        </w:rPr>
        <w:t xml:space="preserve">Tokom roka za podnošenje ponuda </w:t>
      </w:r>
      <w:r w:rsidR="00017969" w:rsidRPr="001F3D62">
        <w:rPr>
          <w:rFonts w:ascii="Segoe UI" w:hAnsi="Segoe UI" w:cs="Segoe UI"/>
        </w:rPr>
        <w:t xml:space="preserve">pozvani </w:t>
      </w:r>
      <w:r w:rsidRPr="001F3D62">
        <w:rPr>
          <w:rFonts w:ascii="Segoe UI" w:hAnsi="Segoe UI" w:cs="Segoe UI"/>
        </w:rPr>
        <w:t>kandidati imaju mogućnost da zatraže dodatna pojašnjenja dokumentacije o nabavci u skladu sa članom 97. ZJN-a.</w:t>
      </w:r>
    </w:p>
    <w:p w14:paraId="50C04D6D" w14:textId="200A2A2F" w:rsidR="008B4B4B" w:rsidRPr="005F1AED" w:rsidRDefault="001809AF" w:rsidP="005F1AED">
      <w:pPr>
        <w:spacing w:before="100" w:beforeAutospacing="1" w:after="100" w:afterAutospacing="1" w:line="240" w:lineRule="auto"/>
        <w:jc w:val="both"/>
        <w:rPr>
          <w:rFonts w:ascii="Segoe UI" w:hAnsi="Segoe UI" w:cs="Segoe UI"/>
          <w:sz w:val="24"/>
          <w:szCs w:val="24"/>
        </w:rPr>
      </w:pPr>
      <w:r w:rsidRPr="00A45D78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Naručilac </w:t>
      </w:r>
      <w:r w:rsidR="00A52E2C" w:rsidRPr="00A45D78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ovom dokumentacijom precizno definiše svoje potrebe</w:t>
      </w:r>
      <w:r w:rsidRPr="00A45D78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, opis konkretnog posla, </w:t>
      </w:r>
      <w:r w:rsidR="00A45D78">
        <w:rPr>
          <w:rFonts w:ascii="Segoe UI" w:hAnsi="Segoe UI" w:cs="Segoe UI"/>
          <w:sz w:val="24"/>
          <w:szCs w:val="24"/>
        </w:rPr>
        <w:t>odnosno</w:t>
      </w:r>
      <w:r w:rsidR="00A45D78" w:rsidRPr="00C91359">
        <w:rPr>
          <w:rFonts w:ascii="Segoe UI" w:hAnsi="Segoe UI" w:cs="Segoe UI"/>
          <w:sz w:val="24"/>
          <w:szCs w:val="24"/>
        </w:rPr>
        <w:t xml:space="preserve"> tehničke specifikacije, uslove izvršenja, rokove</w:t>
      </w:r>
      <w:r w:rsidR="00A45D78">
        <w:rPr>
          <w:rFonts w:ascii="Segoe UI" w:hAnsi="Segoe UI" w:cs="Segoe UI"/>
          <w:sz w:val="24"/>
          <w:szCs w:val="24"/>
        </w:rPr>
        <w:t xml:space="preserve">, </w:t>
      </w:r>
      <w:r w:rsidR="00A45D78" w:rsidRPr="00C91359">
        <w:rPr>
          <w:rFonts w:ascii="Segoe UI" w:hAnsi="Segoe UI" w:cs="Segoe UI"/>
          <w:sz w:val="24"/>
          <w:szCs w:val="24"/>
        </w:rPr>
        <w:t>količine</w:t>
      </w:r>
      <w:r w:rsidR="00A45D78">
        <w:rPr>
          <w:rFonts w:ascii="Segoe UI" w:hAnsi="Segoe UI" w:cs="Segoe UI"/>
          <w:sz w:val="24"/>
          <w:szCs w:val="24"/>
        </w:rPr>
        <w:t xml:space="preserve"> u zavisnosti od prirode predmeta nabavke, </w:t>
      </w:r>
      <w:r w:rsidR="00A52E2C" w:rsidRPr="00A45D78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kriterijume za dodelu ugovora i dr, na osnovu koje kandidati </w:t>
      </w:r>
      <w:r w:rsidR="00842AC2" w:rsidRPr="00A45D78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koji su primljenji u SDN, </w:t>
      </w:r>
      <w:r w:rsidR="00A52E2C" w:rsidRPr="00A45D78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putem Portala </w:t>
      </w:r>
      <w:r w:rsidRPr="00A45D78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mogu da podnesu ponudu</w:t>
      </w:r>
      <w:r w:rsidRPr="004810C7">
        <w:rPr>
          <w:rFonts w:ascii="Segoe UI" w:hAnsi="Segoe UI" w:cs="Segoe UI"/>
          <w:lang w:val="sr-Cyrl-RS"/>
        </w:rPr>
        <w:t xml:space="preserve">. </w:t>
      </w:r>
      <w:r w:rsidR="005F1AED">
        <w:rPr>
          <w:rFonts w:ascii="Segoe UI" w:hAnsi="Segoe UI" w:cs="Segoe UI"/>
        </w:rPr>
        <w:t xml:space="preserve"> </w:t>
      </w:r>
      <w:r w:rsidR="00CB1709" w:rsidRPr="005F1AED">
        <w:rPr>
          <w:rFonts w:ascii="Segoe UI" w:hAnsi="Segoe UI" w:cs="Segoe UI"/>
          <w:sz w:val="24"/>
          <w:szCs w:val="24"/>
        </w:rPr>
        <w:t>Navedena dokumentacija sadrži najmanje sledeće elemente</w:t>
      </w:r>
      <w:r w:rsidR="00A52E2C" w:rsidRPr="005F1AED">
        <w:rPr>
          <w:rFonts w:ascii="Segoe UI" w:hAnsi="Segoe UI" w:cs="Segoe UI"/>
          <w:sz w:val="24"/>
          <w:szCs w:val="24"/>
        </w:rPr>
        <w:t>:</w:t>
      </w:r>
    </w:p>
    <w:p w14:paraId="7C671E78" w14:textId="2384AFFB" w:rsidR="008B4B4B" w:rsidRPr="004810C7" w:rsidRDefault="008B4B4B" w:rsidP="00B7087D">
      <w:pPr>
        <w:pStyle w:val="ListParagraph"/>
        <w:numPr>
          <w:ilvl w:val="0"/>
          <w:numId w:val="4"/>
        </w:numPr>
        <w:jc w:val="both"/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</w:pPr>
      <w:r w:rsidRPr="004810C7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Opis i specifikacije predmeta, uslovi isporuke ili izvršenja</w:t>
      </w:r>
    </w:p>
    <w:p w14:paraId="1B08D390" w14:textId="61F7C2F5" w:rsidR="008B4B4B" w:rsidRPr="004810C7" w:rsidRDefault="008B4B4B" w:rsidP="008B4B4B">
      <w:pPr>
        <w:jc w:val="both"/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</w:pPr>
      <w:r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Naručilac </w:t>
      </w:r>
      <w:r w:rsidR="004746B8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u ovom dokumentu</w:t>
      </w:r>
      <w:r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koji </w:t>
      </w:r>
      <w:r w:rsidR="00842AC2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zapravo </w:t>
      </w:r>
      <w:r w:rsid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predstavlja dokument </w:t>
      </w:r>
      <w:r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tehničk</w:t>
      </w:r>
      <w:r w:rsid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ih</w:t>
      </w:r>
      <w:r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specifikacija za konkretan ugovor, konkretizuje predmet pojedinačne javne nabavke u drugoj fazi</w:t>
      </w:r>
      <w:r w:rsidR="00842AC2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(detaljno opisuje karakteriske predmeta pojedinačne nabavke, određuje količine, rokove izvršenja i sl.), </w:t>
      </w:r>
      <w:r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za koji ponudu mogu da podnesu kandidati koji su </w:t>
      </w:r>
      <w:r w:rsidR="004746B8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primljeni u</w:t>
      </w:r>
      <w:r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SDN.</w:t>
      </w:r>
    </w:p>
    <w:p w14:paraId="3CA8F96E" w14:textId="07F6A52A" w:rsidR="008B4B4B" w:rsidRPr="004810C7" w:rsidRDefault="008B4B4B" w:rsidP="00B7087D">
      <w:pPr>
        <w:pStyle w:val="ListParagraph"/>
        <w:numPr>
          <w:ilvl w:val="0"/>
          <w:numId w:val="4"/>
        </w:numPr>
        <w:jc w:val="both"/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</w:pPr>
      <w:r w:rsidRPr="004810C7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Obrazac strukture ponuđene cene</w:t>
      </w:r>
    </w:p>
    <w:p w14:paraId="3975BAB1" w14:textId="5B744A95" w:rsidR="008B4B4B" w:rsidRPr="004810C7" w:rsidRDefault="004746B8" w:rsidP="008B4B4B">
      <w:pPr>
        <w:jc w:val="both"/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</w:pPr>
      <w:bookmarkStart w:id="12" w:name="_Hlk167460015"/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S obzirom da se cena </w:t>
      </w:r>
      <w:r w:rsidR="008B4B4B"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daje tek u drugoj fazi, </w:t>
      </w:r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naručilac u skladu sa tehničkom specifikacijom priprema obrazac struktrue cena</w:t>
      </w:r>
      <w:r w:rsidR="008B4B4B"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. </w:t>
      </w:r>
    </w:p>
    <w:bookmarkEnd w:id="12"/>
    <w:p w14:paraId="7487E7F2" w14:textId="335D08C2" w:rsidR="008B4B4B" w:rsidRPr="004810C7" w:rsidRDefault="008B4B4B" w:rsidP="00B7087D">
      <w:pPr>
        <w:pStyle w:val="ListParagraph"/>
        <w:numPr>
          <w:ilvl w:val="0"/>
          <w:numId w:val="4"/>
        </w:numPr>
        <w:spacing w:after="150"/>
        <w:jc w:val="both"/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</w:pPr>
      <w:r w:rsidRPr="004810C7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Kriterijumi za dodelu ugovora </w:t>
      </w:r>
    </w:p>
    <w:p w14:paraId="1CDA3257" w14:textId="3B816246" w:rsidR="008B4B4B" w:rsidRPr="004810C7" w:rsidRDefault="00842AC2" w:rsidP="008B4B4B">
      <w:pPr>
        <w:spacing w:after="150"/>
        <w:jc w:val="both"/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K</w:t>
      </w:r>
      <w:r w:rsidR="008B4B4B"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riterijumi za dodelu ugovora </w:t>
      </w:r>
      <w:r w:rsid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navode</w:t>
      </w:r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se </w:t>
      </w:r>
      <w:r w:rsid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u dokumentaciji o nabavci </w:t>
      </w:r>
      <w:r w:rsidR="008B4B4B"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u prvoj fazi </w:t>
      </w:r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postupka prilikom kvalifikacije kandidata, </w:t>
      </w:r>
      <w:r w:rsidR="009C0C7B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uključujući i rezervni kriterijum, </w:t>
      </w:r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međutim </w:t>
      </w:r>
      <w:r w:rsidR="005C3BA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t</w:t>
      </w:r>
      <w:r w:rsid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e</w:t>
      </w:r>
      <w:r w:rsidR="005C3BA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kriterijum</w:t>
      </w:r>
      <w:r w:rsid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e</w:t>
      </w:r>
      <w:r w:rsidR="005C3BA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</w:t>
      </w:r>
      <w:r w:rsid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je potrebno predvideti i</w:t>
      </w:r>
      <w:r w:rsidR="005C3BA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</w:t>
      </w:r>
      <w:r w:rsidR="008B4B4B"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u drugoj fazi</w:t>
      </w:r>
      <w:r w:rsidR="005C3BA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</w:t>
      </w:r>
      <w:r w:rsid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kada se </w:t>
      </w:r>
      <w:r w:rsidR="005C3BA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mogu preciznije odrediti</w:t>
      </w:r>
      <w:r w:rsidR="007621D7">
        <w:rPr>
          <w:rStyle w:val="FootnoteReference"/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footnoteReference w:id="26"/>
      </w:r>
      <w:r w:rsidR="008B4B4B"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. </w:t>
      </w:r>
      <w:r w:rsidR="00376AD8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Ovo ne znači da kriterijumi mogu suštinski da se menjaju, već se mogu samo dodatno precizirati. </w:t>
      </w:r>
      <w:r w:rsidR="00376AD8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Primera radi</w:t>
      </w:r>
      <w:r w:rsidR="004845A0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u postupku nabavke računarske opreme koja uključuje laptop računare, desktop računare i monitore</w:t>
      </w:r>
      <w:r w:rsidR="00376AD8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, naručilac može da odredi </w:t>
      </w:r>
      <w:r w:rsidR="00230D55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kriterijum za dodelu ugovora na osnovu odnosa cene i kvaliteta</w:t>
      </w:r>
      <w:r w:rsidR="00691FAC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,</w:t>
      </w:r>
      <w:r w:rsidR="00230D55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tako što će u prvoj fazi da odredi da kriterijum kvaliteta nosi određeni broj pondera i opiše kvalitativne karaktiriste koje će biti predmet bodovanja, a da u drugoj fazi u zavisnosti od predmeta pojedinačnog ugovora precizira te kriterijume</w:t>
      </w:r>
      <w:r w:rsidR="00691FAC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. R</w:t>
      </w:r>
      <w:r w:rsidR="004845A0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ecimo</w:t>
      </w:r>
      <w:r w:rsidR="00691FAC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da su</w:t>
      </w:r>
      <w:r w:rsidR="004845A0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</w:t>
      </w:r>
      <w:r w:rsidR="00691FAC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predmet pojedinačnog ugovora </w:t>
      </w:r>
      <w:r w:rsidR="004845A0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samo </w:t>
      </w:r>
      <w:r w:rsidR="004845A0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lastRenderedPageBreak/>
        <w:t>laptop računar</w:t>
      </w:r>
      <w:r w:rsidR="00691FAC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i, naručilac</w:t>
      </w:r>
      <w:r w:rsidR="004845A0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</w:t>
      </w:r>
      <w:r w:rsidR="00691FAC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u dokumentaciji o nabavci u drugoj fazi </w:t>
      </w:r>
      <w:r w:rsidR="004845A0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precizira kvalitativne karakteristike</w:t>
      </w:r>
      <w:r w:rsidR="00691FAC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, dokaze</w:t>
      </w:r>
      <w:r w:rsidR="004845A0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i broj pondera </w:t>
      </w:r>
      <w:r w:rsidR="00691FAC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u odnosu na</w:t>
      </w:r>
      <w:r w:rsidR="004845A0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lap top računare</w:t>
      </w:r>
      <w:r w:rsidR="00691FAC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, a u skladu sa pretho</w:t>
      </w:r>
      <w:r w:rsidR="00591173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d</w:t>
      </w:r>
      <w:r w:rsidR="00691FAC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no definisanim kriterijumima</w:t>
      </w:r>
      <w:r w:rsidR="00230D55" w:rsidRPr="0099605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.</w:t>
      </w:r>
      <w:r w:rsidR="00230D55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</w:t>
      </w:r>
      <w:r w:rsidR="008B4B4B" w:rsidRPr="004810C7">
        <w:rPr>
          <w:rFonts w:ascii="Segoe UI" w:eastAsia="Times New Roman" w:hAnsi="Segoe UI" w:cs="Segoe UI"/>
          <w:b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</w:p>
    <w:p w14:paraId="79C9FE28" w14:textId="1010836E" w:rsidR="008B4B4B" w:rsidRPr="004810C7" w:rsidRDefault="008B4B4B" w:rsidP="00B7087D">
      <w:pPr>
        <w:pStyle w:val="ListParagraph"/>
        <w:numPr>
          <w:ilvl w:val="0"/>
          <w:numId w:val="4"/>
        </w:numPr>
        <w:spacing w:after="150"/>
        <w:jc w:val="both"/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</w:pPr>
      <w:r w:rsidRPr="004810C7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Obrazac troškova pripreme ponude</w:t>
      </w:r>
    </w:p>
    <w:p w14:paraId="55283A78" w14:textId="0B0F87FC" w:rsidR="008B4B4B" w:rsidRPr="005C3BA6" w:rsidRDefault="008B4B4B" w:rsidP="008B4B4B">
      <w:pPr>
        <w:spacing w:after="150"/>
        <w:jc w:val="both"/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</w:pPr>
      <w:r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Ovaj obrazac je sastavni deo konkursne dokumentacije u drugoj fazi</w:t>
      </w:r>
      <w:r w:rsidR="005C3BA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, koji ponuđač može da podnese i iskaže svoje troškove i time stekne pravo na eventualnu nadoknadu  troškova u skladu sa članom 138. ZJN-a.</w:t>
      </w:r>
    </w:p>
    <w:p w14:paraId="7770047F" w14:textId="77777777" w:rsidR="005C3BA6" w:rsidRDefault="008B4B4B" w:rsidP="00B7087D">
      <w:pPr>
        <w:pStyle w:val="ListParagraph"/>
        <w:numPr>
          <w:ilvl w:val="0"/>
          <w:numId w:val="4"/>
        </w:numPr>
        <w:spacing w:after="150"/>
        <w:jc w:val="both"/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</w:pPr>
      <w:r w:rsidRPr="004810C7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Model ugovora</w:t>
      </w:r>
    </w:p>
    <w:p w14:paraId="105F4C4C" w14:textId="78FF134F" w:rsidR="005C3BA6" w:rsidRPr="005C3BA6" w:rsidRDefault="005C3BA6" w:rsidP="005C3BA6">
      <w:pPr>
        <w:spacing w:after="150"/>
        <w:jc w:val="both"/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</w:pPr>
      <w:r w:rsidRPr="005C3BA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U drugoj fazi postupka, kada se vrši izbor </w:t>
      </w:r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najpovoljnije ponude </w:t>
      </w:r>
      <w:r w:rsidRPr="005C3BA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i preciziraju obaveze ugovornih strana, </w:t>
      </w:r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potrebno je pripremiti prec</w:t>
      </w:r>
      <w:r w:rsidR="00C02945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izan</w:t>
      </w:r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</w:t>
      </w:r>
      <w:r w:rsidRPr="005C3BA6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model ugovora.</w:t>
      </w:r>
    </w:p>
    <w:p w14:paraId="05535B47" w14:textId="00F79A88" w:rsidR="008B4B4B" w:rsidRPr="004810C7" w:rsidRDefault="008B4B4B" w:rsidP="00B7087D">
      <w:pPr>
        <w:pStyle w:val="ListParagraph"/>
        <w:numPr>
          <w:ilvl w:val="0"/>
          <w:numId w:val="4"/>
        </w:numPr>
        <w:spacing w:after="150"/>
        <w:jc w:val="both"/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</w:pPr>
      <w:r w:rsidRPr="004810C7">
        <w:rPr>
          <w:rFonts w:ascii="Segoe UI" w:eastAsia="Times New Roman" w:hAnsi="Segoe UI" w:cs="Segoe UI"/>
          <w:i/>
          <w:kern w:val="0"/>
          <w:sz w:val="24"/>
          <w:szCs w:val="24"/>
          <w:u w:val="single"/>
          <w:lang w:val="sr-Cyrl-RS" w:eastAsia="sr-Latn-RS"/>
          <w14:ligatures w14:val="none"/>
        </w:rPr>
        <w:t>Uputstvo ponuđačima kako da sačine ponudu</w:t>
      </w:r>
    </w:p>
    <w:p w14:paraId="44D66DCC" w14:textId="17599A80" w:rsidR="008B4B4B" w:rsidRDefault="00C02945" w:rsidP="00CB1709">
      <w:pPr>
        <w:spacing w:after="150"/>
        <w:jc w:val="both"/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Ovaj dokument kreira </w:t>
      </w:r>
      <w:r w:rsidR="008B4B4B"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Portal</w:t>
      </w:r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na osnovu podataka koje naručilac unosi na odgovarajućim koracima prilikom pripreme poziva za podnošenje ponude, odnosno dokumentacije o nabavci, u okviru kojeg će biti navedeni podaci od značaja za podnošenje ponude, kao što je rok za podnošenje ponude, dokumentacija koja se dostavlja uz ponudu, podaci od značaja za ponudu (</w:t>
      </w:r>
      <w:r w:rsidR="008B4B4B"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rok i način plaćanja, eventualne druge okolnosti od kojih zavisi prihvatlјivost ponude</w:t>
      </w:r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,</w:t>
      </w:r>
      <w:r w:rsidR="008B4B4B"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 sredstvo obezbeđenja za dobro izvršenje posla</w:t>
      </w:r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i</w:t>
      </w:r>
      <w:r w:rsidR="00BD0255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dr</w:t>
      </w:r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.)</w:t>
      </w:r>
      <w:r w:rsidR="00BD0255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, informacije o rokovima za zaštitu prava i dr.</w:t>
      </w:r>
    </w:p>
    <w:p w14:paraId="4801CEC3" w14:textId="0865E9CE" w:rsidR="00376AD8" w:rsidRPr="00376AD8" w:rsidRDefault="00877B4D" w:rsidP="00376AD8">
      <w:pPr>
        <w:pStyle w:val="ListParagraph"/>
        <w:numPr>
          <w:ilvl w:val="0"/>
          <w:numId w:val="18"/>
        </w:numPr>
        <w:jc w:val="both"/>
        <w:rPr>
          <w:rStyle w:val="Strong"/>
          <w:rFonts w:ascii="Segoe UI" w:eastAsia="Times New Roman" w:hAnsi="Segoe UI" w:cs="Segoe UI"/>
          <w:b w:val="0"/>
          <w:bCs w:val="0"/>
          <w:kern w:val="0"/>
          <w:sz w:val="24"/>
          <w:szCs w:val="24"/>
          <w:lang w:val="sr-Cyrl-RS" w:eastAsia="sr-Latn-RS"/>
          <w14:ligatures w14:val="none"/>
        </w:rPr>
      </w:pPr>
      <w:r w:rsidRPr="00376AD8">
        <w:rPr>
          <w:rStyle w:val="Strong"/>
          <w:rFonts w:ascii="Segoe UI" w:hAnsi="Segoe UI" w:cs="Segoe UI"/>
          <w:bCs w:val="0"/>
          <w:sz w:val="24"/>
          <w:szCs w:val="24"/>
        </w:rPr>
        <w:t>Stručna ocena ponuda</w:t>
      </w:r>
      <w:r w:rsidR="00BD0255" w:rsidRPr="00376AD8">
        <w:rPr>
          <w:rStyle w:val="Strong"/>
          <w:rFonts w:ascii="Segoe UI" w:hAnsi="Segoe UI" w:cs="Segoe UI"/>
          <w:bCs w:val="0"/>
          <w:sz w:val="24"/>
          <w:szCs w:val="24"/>
        </w:rPr>
        <w:t xml:space="preserve"> i dodela ugovora</w:t>
      </w:r>
    </w:p>
    <w:p w14:paraId="0211224E" w14:textId="4D9AD59D" w:rsidR="00551F44" w:rsidRPr="004845A0" w:rsidRDefault="00161751" w:rsidP="004845A0">
      <w:pPr>
        <w:jc w:val="both"/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</w:pPr>
      <w:r w:rsidRPr="004845A0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>Nakon otvaranja ponuda koje je za razliku od prve faze javno, naručilac pristupa stručnoj oceni ponuda, sačinjava izveštaj o postupku i donosi odluku o dodeli ugovora</w:t>
      </w:r>
      <w:r w:rsidR="0028269A" w:rsidRPr="004845A0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/obustavi postupka</w:t>
      </w:r>
      <w:r w:rsidR="0028269A" w:rsidRPr="004810C7">
        <w:rPr>
          <w:rStyle w:val="FootnoteReference"/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footnoteReference w:id="27"/>
      </w:r>
      <w:r w:rsidRPr="004845A0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. </w:t>
      </w:r>
    </w:p>
    <w:p w14:paraId="4B24EF0E" w14:textId="4C44AF97" w:rsidR="00F83226" w:rsidRPr="004810C7" w:rsidRDefault="0028269A" w:rsidP="00161751">
      <w:pPr>
        <w:jc w:val="both"/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</w:pPr>
      <w:r w:rsidRP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U ovoj fazi se odluka</w:t>
      </w:r>
      <w:r w:rsid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,</w:t>
      </w:r>
      <w:r w:rsidRP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za razliku od prve faze</w:t>
      </w:r>
      <w:r w:rsid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,</w:t>
      </w:r>
      <w:r w:rsidRP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ne dostavlja posebno svakom ponuđaču, već se objavljuje na Portalu. </w:t>
      </w:r>
    </w:p>
    <w:p w14:paraId="383EAECB" w14:textId="4C45DD1B" w:rsidR="00877B4D" w:rsidRDefault="00161751" w:rsidP="00161751">
      <w:pPr>
        <w:jc w:val="both"/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</w:pPr>
      <w:r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Rok za donošenje odluke je 30 dana od dana otvaranja ponuda, osim ako naručilac nije odredio </w:t>
      </w:r>
      <w:r w:rsidR="00EA6E5C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duži </w:t>
      </w:r>
      <w:r w:rsidRPr="004810C7">
        <w:rPr>
          <w:rFonts w:ascii="Segoe UI" w:eastAsia="Times New Roman" w:hAnsi="Segoe UI" w:cs="Segoe UI"/>
          <w:kern w:val="0"/>
          <w:sz w:val="24"/>
          <w:szCs w:val="24"/>
          <w:lang w:val="sr-Cyrl-RS" w:eastAsia="sr-Latn-RS"/>
          <w14:ligatures w14:val="none"/>
        </w:rPr>
        <w:t xml:space="preserve">rok. </w:t>
      </w:r>
    </w:p>
    <w:p w14:paraId="289EF97D" w14:textId="7BB68A2E" w:rsidR="00570BDE" w:rsidRPr="00570BDE" w:rsidRDefault="008B7B3C" w:rsidP="00570BDE">
      <w:pPr>
        <w:jc w:val="both"/>
        <w:rPr>
          <w:rFonts w:ascii="Segoe UI" w:eastAsia="Times New Roman" w:hAnsi="Segoe UI" w:cs="Segoe UI"/>
          <w:kern w:val="0"/>
          <w:sz w:val="24"/>
          <w:szCs w:val="24"/>
          <w:lang w:val="en-US" w:eastAsia="sr-Latn-RS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U stručnoj oceni ponuda naručilac primenjuje sva opšta pravila propisana ZJN-om, kao što su</w:t>
      </w:r>
      <w:r w:rsidR="00570BDE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odredbe čl. 141 – 147. ZJN-a (p</w:t>
      </w:r>
      <w:r w:rsidR="000808D0" w:rsidRPr="008B7B3C">
        <w:rPr>
          <w:rFonts w:ascii="Segoe UI" w:eastAsia="Times New Roman" w:hAnsi="Segoe UI" w:cs="Segoe UI"/>
          <w:kern w:val="0"/>
          <w:sz w:val="24"/>
          <w:szCs w:val="24"/>
          <w:lang w:val="vi-VN" w:eastAsia="sr-Latn-RS"/>
          <w14:ligatures w14:val="none"/>
        </w:rPr>
        <w:t>regled i stručna ocena ponuda</w:t>
      </w:r>
      <w:r w:rsidR="00570BDE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, d</w:t>
      </w:r>
      <w:r w:rsidR="000808D0" w:rsidRPr="008B7B3C">
        <w:rPr>
          <w:rFonts w:ascii="Segoe UI" w:eastAsia="Times New Roman" w:hAnsi="Segoe UI" w:cs="Segoe UI"/>
          <w:kern w:val="0"/>
          <w:sz w:val="24"/>
          <w:szCs w:val="24"/>
          <w:lang w:val="vi-VN" w:eastAsia="sr-Latn-RS"/>
          <w14:ligatures w14:val="none"/>
        </w:rPr>
        <w:t>odatna objašnjenja, kontrola i dopuštene ispravke</w:t>
      </w:r>
      <w:r w:rsidR="00570BDE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, n</w:t>
      </w:r>
      <w:r w:rsidR="000808D0" w:rsidRPr="008B7B3C">
        <w:rPr>
          <w:rFonts w:ascii="Segoe UI" w:eastAsia="Times New Roman" w:hAnsi="Segoe UI" w:cs="Segoe UI"/>
          <w:kern w:val="0"/>
          <w:sz w:val="24"/>
          <w:szCs w:val="24"/>
          <w:lang w:val="vi-VN" w:eastAsia="sr-Latn-RS"/>
          <w14:ligatures w14:val="none"/>
        </w:rPr>
        <w:t>euobičajeno niska ponuda</w:t>
      </w:r>
      <w:r w:rsidR="00570BDE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, u</w:t>
      </w:r>
      <w:r w:rsidR="000808D0" w:rsidRPr="008B7B3C">
        <w:rPr>
          <w:rFonts w:ascii="Segoe UI" w:eastAsia="Times New Roman" w:hAnsi="Segoe UI" w:cs="Segoe UI"/>
          <w:kern w:val="0"/>
          <w:sz w:val="24"/>
          <w:szCs w:val="24"/>
          <w:lang w:val="vi-VN" w:eastAsia="sr-Latn-RS"/>
          <w14:ligatures w14:val="none"/>
        </w:rPr>
        <w:t>slovi za dodelu ugovora</w:t>
      </w:r>
      <w:r w:rsidR="00570BDE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, i</w:t>
      </w:r>
      <w:r w:rsidR="000808D0" w:rsidRPr="008B7B3C">
        <w:rPr>
          <w:rFonts w:ascii="Segoe UI" w:eastAsia="Times New Roman" w:hAnsi="Segoe UI" w:cs="Segoe UI"/>
          <w:kern w:val="0"/>
          <w:sz w:val="24"/>
          <w:szCs w:val="24"/>
          <w:lang w:val="vi-VN" w:eastAsia="sr-Latn-RS"/>
          <w14:ligatures w14:val="none"/>
        </w:rPr>
        <w:t>zveštaj o postupku javne nabavke</w:t>
      </w:r>
      <w:r w:rsidR="00570BDE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, o</w:t>
      </w:r>
      <w:r w:rsidR="000808D0" w:rsidRPr="008B7B3C">
        <w:rPr>
          <w:rFonts w:ascii="Segoe UI" w:eastAsia="Times New Roman" w:hAnsi="Segoe UI" w:cs="Segoe UI"/>
          <w:kern w:val="0"/>
          <w:sz w:val="24"/>
          <w:szCs w:val="24"/>
          <w:lang w:val="vi-VN" w:eastAsia="sr-Latn-RS"/>
          <w14:ligatures w14:val="none"/>
        </w:rPr>
        <w:t>dluka o dodeli ugovora</w:t>
      </w:r>
      <w:r w:rsidR="00570BDE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/ob</w:t>
      </w:r>
      <w:r w:rsidR="000808D0" w:rsidRPr="008B7B3C">
        <w:rPr>
          <w:rFonts w:ascii="Segoe UI" w:eastAsia="Times New Roman" w:hAnsi="Segoe UI" w:cs="Segoe UI"/>
          <w:kern w:val="0"/>
          <w:sz w:val="24"/>
          <w:szCs w:val="24"/>
          <w:lang w:val="vi-VN" w:eastAsia="sr-Latn-RS"/>
          <w14:ligatures w14:val="none"/>
        </w:rPr>
        <w:t>ustavi postupka</w:t>
      </w:r>
      <w:r w:rsidR="00570BDE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) i dr.</w:t>
      </w:r>
    </w:p>
    <w:p w14:paraId="4BCB8C95" w14:textId="23FB21BE" w:rsidR="001224B4" w:rsidRPr="00551F44" w:rsidRDefault="008B4B4B" w:rsidP="00B7087D">
      <w:pPr>
        <w:pStyle w:val="ListParagraph"/>
        <w:numPr>
          <w:ilvl w:val="0"/>
          <w:numId w:val="18"/>
        </w:numPr>
        <w:rPr>
          <w:rFonts w:ascii="Segoe UI" w:hAnsi="Segoe UI" w:cs="Segoe UI"/>
          <w:b/>
          <w:sz w:val="24"/>
          <w:szCs w:val="24"/>
          <w:lang w:val="en-US"/>
        </w:rPr>
      </w:pPr>
      <w:r w:rsidRPr="004810C7">
        <w:rPr>
          <w:rStyle w:val="Strong"/>
          <w:rFonts w:ascii="Segoe UI" w:hAnsi="Segoe UI" w:cs="Segoe UI"/>
          <w:bCs w:val="0"/>
          <w:sz w:val="24"/>
          <w:szCs w:val="24"/>
        </w:rPr>
        <w:lastRenderedPageBreak/>
        <w:t>Zaključenje ugovora</w:t>
      </w:r>
      <w:r w:rsidR="00551F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="00B7087D" w:rsidRPr="00551F44">
        <w:rPr>
          <w:rFonts w:ascii="Segoe UI" w:hAnsi="Segoe UI" w:cs="Segoe UI"/>
          <w:b/>
          <w:sz w:val="24"/>
          <w:szCs w:val="24"/>
        </w:rPr>
        <w:t>objavljivanje</w:t>
      </w:r>
      <w:r w:rsidR="002F546E">
        <w:rPr>
          <w:rFonts w:ascii="Segoe UI" w:hAnsi="Segoe UI" w:cs="Segoe UI"/>
          <w:b/>
          <w:sz w:val="24"/>
          <w:szCs w:val="24"/>
        </w:rPr>
        <w:t xml:space="preserve"> podataka o zaključenim ugovorima i </w:t>
      </w:r>
      <w:r w:rsidR="00B7087D" w:rsidRPr="00551F44">
        <w:rPr>
          <w:rFonts w:ascii="Segoe UI" w:hAnsi="Segoe UI" w:cs="Segoe UI"/>
          <w:b/>
          <w:sz w:val="24"/>
          <w:szCs w:val="24"/>
        </w:rPr>
        <w:t xml:space="preserve"> </w:t>
      </w:r>
      <w:r w:rsidR="002F546E">
        <w:rPr>
          <w:rFonts w:ascii="Segoe UI" w:hAnsi="Segoe UI" w:cs="Segoe UI"/>
          <w:b/>
          <w:sz w:val="24"/>
          <w:szCs w:val="24"/>
        </w:rPr>
        <w:t xml:space="preserve">objavljivanje tromesečnog </w:t>
      </w:r>
      <w:r w:rsidR="00B1582C">
        <w:rPr>
          <w:rFonts w:ascii="Segoe UI" w:hAnsi="Segoe UI" w:cs="Segoe UI"/>
          <w:b/>
          <w:sz w:val="24"/>
          <w:szCs w:val="24"/>
        </w:rPr>
        <w:t>zbirnog</w:t>
      </w:r>
      <w:r w:rsidR="002F546E">
        <w:rPr>
          <w:rFonts w:ascii="Segoe UI" w:hAnsi="Segoe UI" w:cs="Segoe UI"/>
          <w:b/>
          <w:sz w:val="24"/>
          <w:szCs w:val="24"/>
        </w:rPr>
        <w:t xml:space="preserve"> </w:t>
      </w:r>
      <w:r w:rsidR="00B7087D" w:rsidRPr="00551F44">
        <w:rPr>
          <w:rFonts w:ascii="Segoe UI" w:hAnsi="Segoe UI" w:cs="Segoe UI"/>
          <w:b/>
          <w:sz w:val="24"/>
          <w:szCs w:val="24"/>
        </w:rPr>
        <w:t>obaveštenja</w:t>
      </w:r>
      <w:r w:rsidR="002F546E">
        <w:rPr>
          <w:rFonts w:ascii="Segoe UI" w:hAnsi="Segoe UI" w:cs="Segoe UI"/>
          <w:b/>
          <w:sz w:val="24"/>
          <w:szCs w:val="24"/>
        </w:rPr>
        <w:t>.</w:t>
      </w:r>
    </w:p>
    <w:p w14:paraId="3DF5C357" w14:textId="77777777" w:rsidR="005F1AED" w:rsidRDefault="008B4B4B" w:rsidP="00161751">
      <w:pPr>
        <w:spacing w:before="100" w:beforeAutospacing="1" w:after="100" w:afterAutospacing="1" w:line="240" w:lineRule="auto"/>
        <w:jc w:val="both"/>
        <w:rPr>
          <w:rFonts w:ascii="Segoe UI" w:hAnsi="Segoe UI" w:cs="Segoe UI"/>
          <w:sz w:val="24"/>
          <w:szCs w:val="24"/>
        </w:rPr>
      </w:pPr>
      <w:r w:rsidRPr="004810C7">
        <w:rPr>
          <w:rFonts w:ascii="Segoe UI" w:hAnsi="Segoe UI" w:cs="Segoe UI"/>
          <w:sz w:val="24"/>
          <w:szCs w:val="24"/>
        </w:rPr>
        <w:t xml:space="preserve">Nakon dodele ugovora, sa izabranim ponuđačem zaključuje </w:t>
      </w:r>
      <w:r w:rsidR="004810C7">
        <w:rPr>
          <w:rFonts w:ascii="Segoe UI" w:hAnsi="Segoe UI" w:cs="Segoe UI"/>
          <w:sz w:val="24"/>
          <w:szCs w:val="24"/>
        </w:rPr>
        <w:t xml:space="preserve">se </w:t>
      </w:r>
      <w:r w:rsidRPr="004810C7">
        <w:rPr>
          <w:rFonts w:ascii="Segoe UI" w:hAnsi="Segoe UI" w:cs="Segoe UI"/>
          <w:sz w:val="24"/>
          <w:szCs w:val="24"/>
        </w:rPr>
        <w:t>konkretan ugovor</w:t>
      </w:r>
      <w:r w:rsidR="00CB1709" w:rsidRPr="004810C7">
        <w:rPr>
          <w:rFonts w:ascii="Segoe UI" w:hAnsi="Segoe UI" w:cs="Segoe UI"/>
          <w:sz w:val="24"/>
          <w:szCs w:val="24"/>
        </w:rPr>
        <w:t>.</w:t>
      </w:r>
    </w:p>
    <w:p w14:paraId="0E88FEE4" w14:textId="38235161" w:rsidR="008B4B4B" w:rsidRDefault="008B4B4B" w:rsidP="00161751">
      <w:pPr>
        <w:spacing w:before="100" w:beforeAutospacing="1" w:after="100" w:afterAutospacing="1" w:line="240" w:lineRule="auto"/>
        <w:jc w:val="both"/>
        <w:rPr>
          <w:rFonts w:ascii="Segoe UI" w:hAnsi="Segoe UI" w:cs="Segoe UI"/>
          <w:sz w:val="24"/>
          <w:szCs w:val="24"/>
        </w:rPr>
      </w:pPr>
      <w:r w:rsidRPr="004810C7">
        <w:rPr>
          <w:rFonts w:ascii="Segoe UI" w:hAnsi="Segoe UI" w:cs="Segoe UI"/>
          <w:sz w:val="24"/>
          <w:szCs w:val="24"/>
        </w:rPr>
        <w:t>Naručilac može da zaključi ugovor sa izabranim ponuđačem i pre konačnosti odluke o dodeli ugovora, odnosno pre isteka roka za podnošenje zahteva za zaštitu prava</w:t>
      </w:r>
      <w:r w:rsidR="00551F44">
        <w:rPr>
          <w:rStyle w:val="FootnoteReference"/>
          <w:rFonts w:ascii="Segoe UI" w:hAnsi="Segoe UI" w:cs="Segoe UI"/>
          <w:sz w:val="24"/>
          <w:szCs w:val="24"/>
        </w:rPr>
        <w:footnoteReference w:id="28"/>
      </w:r>
      <w:r w:rsidRPr="004810C7">
        <w:rPr>
          <w:rFonts w:ascii="Segoe UI" w:hAnsi="Segoe UI" w:cs="Segoe UI"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Y="-1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2AF8" w14:paraId="4BD9C6AF" w14:textId="77777777" w:rsidTr="008A2AF8">
        <w:tc>
          <w:tcPr>
            <w:tcW w:w="9016" w:type="dxa"/>
            <w:shd w:val="clear" w:color="auto" w:fill="C4F0C2" w:themeFill="accent3" w:themeFillTint="66"/>
          </w:tcPr>
          <w:p w14:paraId="3E9A9884" w14:textId="77777777" w:rsidR="008A2AF8" w:rsidRDefault="008A2AF8" w:rsidP="008A2AF8">
            <w:pPr>
              <w:pStyle w:val="NormalWeb"/>
              <w:jc w:val="both"/>
              <w:rPr>
                <w:rFonts w:ascii="Segoe UI" w:hAnsi="Segoe UI" w:cs="Segoe UI"/>
                <w:b/>
                <w:i/>
                <w:color w:val="212529"/>
              </w:rPr>
            </w:pPr>
            <w:r w:rsidRPr="004810C7">
              <w:rPr>
                <w:rFonts w:ascii="Segoe UI" w:hAnsi="Segoe UI" w:cs="Segoe UI"/>
                <w:b/>
                <w:i/>
                <w:color w:val="212529"/>
              </w:rPr>
              <w:t xml:space="preserve">Napomena: </w:t>
            </w:r>
            <w:r w:rsidRPr="004810C7">
              <w:rPr>
                <w:rFonts w:ascii="Segoe UI" w:hAnsi="Segoe UI" w:cs="Segoe UI"/>
                <w:bCs/>
                <w:i/>
                <w:color w:val="212529"/>
              </w:rPr>
              <w:t xml:space="preserve">Republička komisija može da poništi ugovor o javnoj nabavci ukoliko postupajući po podnetom zahtevu za zaštitu prava ili na zahtev lica koje ima aktivnu legitimaciju utvrdi da je naručilac </w:t>
            </w:r>
            <w:r w:rsidRPr="004810C7">
              <w:rPr>
                <w:rFonts w:ascii="Segoe UI" w:hAnsi="Segoe UI" w:cs="Segoe UI"/>
                <w:i/>
                <w:color w:val="212529"/>
              </w:rPr>
              <w:t>zakl</w:t>
            </w:r>
            <w:r w:rsidRPr="004810C7">
              <w:rPr>
                <w:rFonts w:ascii="Segoe UI" w:hAnsi="Segoe UI" w:cs="Segoe UI"/>
                <w:i/>
                <w:color w:val="212529"/>
                <w:lang w:val="ru-RU"/>
              </w:rPr>
              <w:t>ј</w:t>
            </w:r>
            <w:r w:rsidRPr="004810C7">
              <w:rPr>
                <w:rFonts w:ascii="Segoe UI" w:hAnsi="Segoe UI" w:cs="Segoe UI"/>
                <w:i/>
                <w:color w:val="212529"/>
              </w:rPr>
              <w:t>učio ugovor o javnoj nabavci koristeći SDN suprotno odredbama ZJN-a</w:t>
            </w:r>
            <w:r w:rsidRPr="004810C7">
              <w:rPr>
                <w:rStyle w:val="FootnoteReference"/>
                <w:rFonts w:ascii="Segoe UI" w:hAnsi="Segoe UI" w:cs="Segoe UI"/>
                <w:i/>
                <w:color w:val="212529"/>
                <w:lang w:val="ru-RU"/>
              </w:rPr>
              <w:footnoteReference w:id="29"/>
            </w:r>
            <w:r w:rsidRPr="004810C7">
              <w:rPr>
                <w:rFonts w:ascii="Segoe UI" w:hAnsi="Segoe UI" w:cs="Segoe UI"/>
                <w:i/>
                <w:color w:val="212529"/>
              </w:rPr>
              <w:t xml:space="preserve">. </w:t>
            </w:r>
          </w:p>
        </w:tc>
      </w:tr>
    </w:tbl>
    <w:p w14:paraId="23BEAF2B" w14:textId="77777777" w:rsidR="008A2AF8" w:rsidRPr="008A2AF8" w:rsidRDefault="008A2AF8" w:rsidP="008A2AF8">
      <w:pPr>
        <w:pStyle w:val="ListParagraph"/>
        <w:ind w:left="1068"/>
        <w:rPr>
          <w:rStyle w:val="Strong"/>
          <w:rFonts w:ascii="Segoe UI" w:hAnsi="Segoe UI" w:cs="Segoe UI"/>
          <w:bCs w:val="0"/>
          <w:i/>
          <w:sz w:val="24"/>
          <w:szCs w:val="24"/>
        </w:rPr>
      </w:pPr>
    </w:p>
    <w:p w14:paraId="29F45A70" w14:textId="3EDA7C7B" w:rsidR="00BD0255" w:rsidRPr="00BD0255" w:rsidRDefault="00BD0255" w:rsidP="00B7087D">
      <w:pPr>
        <w:pStyle w:val="ListParagraph"/>
        <w:numPr>
          <w:ilvl w:val="0"/>
          <w:numId w:val="22"/>
        </w:numPr>
        <w:rPr>
          <w:rFonts w:ascii="Segoe UI" w:hAnsi="Segoe UI" w:cs="Segoe UI"/>
          <w:b/>
          <w:i/>
          <w:sz w:val="24"/>
          <w:szCs w:val="24"/>
        </w:rPr>
      </w:pPr>
      <w:r w:rsidRPr="00BD0255">
        <w:rPr>
          <w:rStyle w:val="Strong"/>
          <w:rFonts w:ascii="Segoe UI" w:hAnsi="Segoe UI" w:cs="Segoe UI"/>
          <w:b w:val="0"/>
          <w:bCs w:val="0"/>
          <w:i/>
          <w:sz w:val="24"/>
          <w:szCs w:val="24"/>
        </w:rPr>
        <w:t xml:space="preserve">Objavljivanje </w:t>
      </w:r>
      <w:r w:rsidR="002F546E">
        <w:rPr>
          <w:rStyle w:val="Strong"/>
          <w:rFonts w:ascii="Segoe UI" w:hAnsi="Segoe UI" w:cs="Segoe UI"/>
          <w:b w:val="0"/>
          <w:bCs w:val="0"/>
          <w:i/>
          <w:sz w:val="24"/>
          <w:szCs w:val="24"/>
        </w:rPr>
        <w:t xml:space="preserve">podataka o zaključenim ugovorima i objavljivanje tromesečnog zbirnog </w:t>
      </w:r>
      <w:r w:rsidRPr="00BD0255">
        <w:rPr>
          <w:rStyle w:val="Strong"/>
          <w:rFonts w:ascii="Segoe UI" w:hAnsi="Segoe UI" w:cs="Segoe UI"/>
          <w:b w:val="0"/>
          <w:bCs w:val="0"/>
          <w:i/>
          <w:sz w:val="24"/>
          <w:szCs w:val="24"/>
        </w:rPr>
        <w:t xml:space="preserve">obaveštenja </w:t>
      </w:r>
    </w:p>
    <w:p w14:paraId="129DB685" w14:textId="73A09405" w:rsidR="008B4B4B" w:rsidRPr="004810C7" w:rsidRDefault="008B4B4B" w:rsidP="008B4B4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4810C7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Naručilac je dužan da u skladu sa članom 152a ZJN</w:t>
      </w:r>
      <w:r w:rsidR="00FA3D4D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-a</w:t>
      </w:r>
      <w:r w:rsidRPr="004810C7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i </w:t>
      </w:r>
      <w:r w:rsidRPr="004810C7">
        <w:rPr>
          <w:rFonts w:ascii="Segoe UI" w:eastAsia="Times New Roman" w:hAnsi="Segoe UI" w:cs="Segoe UI"/>
          <w:color w:val="212529"/>
          <w:sz w:val="24"/>
          <w:szCs w:val="24"/>
          <w:lang w:eastAsia="sr-Latn-RS"/>
        </w:rPr>
        <w:t>Pravilnikom o načinu objavlјivanja i vrsti podataka o ugovorima i izmenama ugovora koje naručioci objavlјuju na Portalu javnih nabavki („Službeni glasnik RS“, br. 115/23)</w:t>
      </w:r>
      <w:r w:rsidRPr="004810C7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u Registru ugovora na Portalu objavi </w:t>
      </w:r>
      <w:r w:rsidRPr="004810C7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podatke o zaključenim ugovorima </w:t>
      </w:r>
      <w:r w:rsidRPr="004810C7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u roku od 30 dana od dana zaključenja.</w:t>
      </w:r>
    </w:p>
    <w:p w14:paraId="476FD273" w14:textId="63FF5C05" w:rsidR="008B4B4B" w:rsidRDefault="00BD0255" w:rsidP="008B4B4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Pored toga, naručilac je dužan</w:t>
      </w:r>
      <w:r w:rsidR="008B4B4B" w:rsidRPr="004810C7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da tromesečno objavljuje zbirno obaveštenje o dodeli ugovora koji su zaključeni </w:t>
      </w:r>
      <w:r w:rsidR="00161751" w:rsidRPr="004810C7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u okviru SDN-a</w:t>
      </w:r>
      <w:r w:rsidR="008B4B4B" w:rsidRPr="004810C7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u roku od 30 dana od dana isteka tromesečja u kome su ugovori zaključeni. Navedno znači da za sve zaključene ugovore u periodu od 1. januara do 31. marta, tromesečno zbirno obaveštenje treba objaviti do 30. aprila, za zaključene u periodu od 1. aprila do 30. juna, tromesečno zbirno obaveštenje treba objaviti do 30. jula, za zaključene u periodu od 1. jula do 30. septembra, tromesečno zbirno obaveštenje treba objaviti do 30. oktobra, a zaključene u periodu od 1. oktobra do 31. decembra, tromesečno zbirno obaveštenje treba objaviti do 30. januara naredne godine.</w:t>
      </w:r>
    </w:p>
    <w:p w14:paraId="1C808170" w14:textId="245CD701" w:rsidR="00C2477D" w:rsidRDefault="00C2477D" w:rsidP="00C2477D">
      <w:pPr>
        <w:tabs>
          <w:tab w:val="left" w:pos="720"/>
        </w:tabs>
        <w:suppressAutoHyphens/>
        <w:ind w:left="-15" w:right="48"/>
        <w:jc w:val="center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Tabelarni prikaz rokova za tromesečno zbirno obaveštenje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08"/>
      </w:tblGrid>
      <w:tr w:rsidR="008423EE" w14:paraId="22EF1BAA" w14:textId="77777777" w:rsidTr="00C2477D">
        <w:tc>
          <w:tcPr>
            <w:tcW w:w="2547" w:type="dxa"/>
            <w:shd w:val="clear" w:color="auto" w:fill="36C130" w:themeFill="accent3" w:themeFillShade="BF"/>
          </w:tcPr>
          <w:p w14:paraId="7A777F8C" w14:textId="160452FF" w:rsidR="008423EE" w:rsidRPr="008423EE" w:rsidRDefault="008423EE" w:rsidP="008423EE">
            <w:pPr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423EE">
              <w:rPr>
                <w:rFonts w:ascii="Segoe UI" w:eastAsia="Times New Roman" w:hAnsi="Segoe UI" w:cs="Segoe UI"/>
                <w:b/>
                <w:color w:val="F2F2F2" w:themeColor="background1"/>
                <w:kern w:val="0"/>
                <w:sz w:val="24"/>
                <w:szCs w:val="24"/>
                <w:lang w:eastAsia="sr-Latn-RS"/>
                <w14:ligatures w14:val="none"/>
              </w:rPr>
              <w:t>Kvartal</w:t>
            </w:r>
          </w:p>
        </w:tc>
        <w:tc>
          <w:tcPr>
            <w:tcW w:w="1701" w:type="dxa"/>
            <w:shd w:val="clear" w:color="auto" w:fill="C4F0C2" w:themeFill="accent3" w:themeFillTint="66"/>
          </w:tcPr>
          <w:p w14:paraId="55651645" w14:textId="3B977DD0" w:rsidR="008423EE" w:rsidRDefault="008423EE" w:rsidP="008423EE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I</w:t>
            </w:r>
          </w:p>
        </w:tc>
        <w:tc>
          <w:tcPr>
            <w:tcW w:w="1701" w:type="dxa"/>
            <w:shd w:val="clear" w:color="auto" w:fill="C4F0C2" w:themeFill="accent3" w:themeFillTint="66"/>
          </w:tcPr>
          <w:p w14:paraId="22142B03" w14:textId="3DC26C74" w:rsidR="008423EE" w:rsidRDefault="008423EE" w:rsidP="008423EE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II</w:t>
            </w:r>
          </w:p>
        </w:tc>
        <w:tc>
          <w:tcPr>
            <w:tcW w:w="1559" w:type="dxa"/>
            <w:shd w:val="clear" w:color="auto" w:fill="C4F0C2" w:themeFill="accent3" w:themeFillTint="66"/>
          </w:tcPr>
          <w:p w14:paraId="7AC2D2AD" w14:textId="4530E5A8" w:rsidR="008423EE" w:rsidRDefault="008423EE" w:rsidP="008423EE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III</w:t>
            </w:r>
          </w:p>
        </w:tc>
        <w:tc>
          <w:tcPr>
            <w:tcW w:w="1508" w:type="dxa"/>
            <w:shd w:val="clear" w:color="auto" w:fill="C4F0C2" w:themeFill="accent3" w:themeFillTint="66"/>
          </w:tcPr>
          <w:p w14:paraId="1F1926B8" w14:textId="66C77A73" w:rsidR="008423EE" w:rsidRDefault="008423EE" w:rsidP="008423EE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IV</w:t>
            </w:r>
          </w:p>
        </w:tc>
      </w:tr>
      <w:tr w:rsidR="008423EE" w14:paraId="5A3A3364" w14:textId="77777777" w:rsidTr="00C2477D">
        <w:tc>
          <w:tcPr>
            <w:tcW w:w="2547" w:type="dxa"/>
            <w:shd w:val="clear" w:color="auto" w:fill="36C130" w:themeFill="accent3" w:themeFillShade="BF"/>
          </w:tcPr>
          <w:p w14:paraId="4A0512C9" w14:textId="4C18D0ED" w:rsidR="008423EE" w:rsidRPr="00C2477D" w:rsidRDefault="008423EE" w:rsidP="008423EE">
            <w:pPr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b/>
                <w:color w:val="F2F2F2" w:themeColor="background1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C2477D">
              <w:rPr>
                <w:rFonts w:ascii="Segoe UI" w:eastAsia="Times New Roman" w:hAnsi="Segoe UI" w:cs="Segoe UI"/>
                <w:b/>
                <w:color w:val="F2F2F2" w:themeColor="background1"/>
                <w:kern w:val="0"/>
                <w:sz w:val="24"/>
                <w:szCs w:val="24"/>
                <w:lang w:eastAsia="sr-Latn-RS"/>
                <w14:ligatures w14:val="none"/>
              </w:rPr>
              <w:t>Trromesečje</w:t>
            </w:r>
          </w:p>
        </w:tc>
        <w:tc>
          <w:tcPr>
            <w:tcW w:w="1701" w:type="dxa"/>
          </w:tcPr>
          <w:p w14:paraId="3FAE948B" w14:textId="77C0CFCF" w:rsidR="008423EE" w:rsidRDefault="008423EE" w:rsidP="008423EE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1.1.</w:t>
            </w:r>
            <w:r w:rsidRPr="008423EE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-31.3.</w:t>
            </w:r>
          </w:p>
        </w:tc>
        <w:tc>
          <w:tcPr>
            <w:tcW w:w="1701" w:type="dxa"/>
          </w:tcPr>
          <w:p w14:paraId="27856513" w14:textId="3AF1272B" w:rsidR="008423EE" w:rsidRDefault="008423EE" w:rsidP="008423EE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1.4.</w:t>
            </w:r>
            <w:r w:rsidRPr="008423EE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-3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0</w:t>
            </w:r>
            <w:r w:rsidRPr="008423EE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.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6</w:t>
            </w:r>
            <w:r w:rsidRPr="008423EE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.</w:t>
            </w:r>
          </w:p>
        </w:tc>
        <w:tc>
          <w:tcPr>
            <w:tcW w:w="1559" w:type="dxa"/>
          </w:tcPr>
          <w:p w14:paraId="438355CE" w14:textId="507876E9" w:rsidR="008423EE" w:rsidRDefault="008423EE" w:rsidP="008423EE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1.7.</w:t>
            </w:r>
            <w:r w:rsidRPr="008423EE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-3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0</w:t>
            </w:r>
            <w:r w:rsidRPr="008423EE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.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9</w:t>
            </w:r>
            <w:r w:rsidRPr="008423EE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.</w:t>
            </w:r>
          </w:p>
        </w:tc>
        <w:tc>
          <w:tcPr>
            <w:tcW w:w="1508" w:type="dxa"/>
          </w:tcPr>
          <w:p w14:paraId="207F99C1" w14:textId="38769DC4" w:rsidR="008423EE" w:rsidRDefault="008423EE" w:rsidP="008423EE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1.10.</w:t>
            </w:r>
            <w:r w:rsidRPr="008423EE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-31.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12</w:t>
            </w:r>
            <w:r w:rsidRPr="008423EE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.</w:t>
            </w:r>
          </w:p>
        </w:tc>
      </w:tr>
      <w:tr w:rsidR="008423EE" w14:paraId="3B63D885" w14:textId="77777777" w:rsidTr="00C2477D">
        <w:tc>
          <w:tcPr>
            <w:tcW w:w="2547" w:type="dxa"/>
            <w:shd w:val="clear" w:color="auto" w:fill="36C130" w:themeFill="accent3" w:themeFillShade="BF"/>
          </w:tcPr>
          <w:p w14:paraId="05D2589A" w14:textId="32344C2C" w:rsidR="008423EE" w:rsidRPr="00C2477D" w:rsidRDefault="008423EE" w:rsidP="008423EE">
            <w:pPr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b/>
                <w:color w:val="F2F2F2" w:themeColor="background1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C2477D">
              <w:rPr>
                <w:rFonts w:ascii="Segoe UI" w:eastAsia="Times New Roman" w:hAnsi="Segoe UI" w:cs="Segoe UI"/>
                <w:b/>
                <w:color w:val="F2F2F2" w:themeColor="background1"/>
                <w:kern w:val="0"/>
                <w:sz w:val="24"/>
                <w:szCs w:val="24"/>
                <w:lang w:eastAsia="sr-Latn-RS"/>
                <w14:ligatures w14:val="none"/>
              </w:rPr>
              <w:t xml:space="preserve">Rok za objavljivanje </w:t>
            </w:r>
          </w:p>
        </w:tc>
        <w:tc>
          <w:tcPr>
            <w:tcW w:w="1701" w:type="dxa"/>
          </w:tcPr>
          <w:p w14:paraId="719DB42E" w14:textId="00606695" w:rsidR="008423EE" w:rsidRDefault="008423EE" w:rsidP="008423EE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30.4</w:t>
            </w:r>
          </w:p>
        </w:tc>
        <w:tc>
          <w:tcPr>
            <w:tcW w:w="1701" w:type="dxa"/>
          </w:tcPr>
          <w:p w14:paraId="4A16374E" w14:textId="5AB5B4EC" w:rsidR="008423EE" w:rsidRDefault="008423EE" w:rsidP="008423EE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30.7.</w:t>
            </w:r>
          </w:p>
        </w:tc>
        <w:tc>
          <w:tcPr>
            <w:tcW w:w="1559" w:type="dxa"/>
          </w:tcPr>
          <w:p w14:paraId="51548912" w14:textId="4D8A01A6" w:rsidR="008423EE" w:rsidRDefault="008423EE" w:rsidP="008423EE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30.10.</w:t>
            </w:r>
          </w:p>
        </w:tc>
        <w:tc>
          <w:tcPr>
            <w:tcW w:w="1508" w:type="dxa"/>
          </w:tcPr>
          <w:p w14:paraId="331B5A4C" w14:textId="13AEFFC9" w:rsidR="008423EE" w:rsidRDefault="008423EE" w:rsidP="008423EE">
            <w:pPr>
              <w:spacing w:before="100" w:beforeAutospacing="1" w:after="100" w:afterAutospacing="1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30.1.</w:t>
            </w:r>
          </w:p>
        </w:tc>
      </w:tr>
    </w:tbl>
    <w:p w14:paraId="2C283634" w14:textId="3D0118D6" w:rsidR="00BD0255" w:rsidRPr="00A45D78" w:rsidRDefault="008B4B4B" w:rsidP="00A45D7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Dakle, svaki zaključen pojedinačni ugovor </w:t>
      </w:r>
      <w:r w:rsidR="00161751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u SDN-u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najpre se objavljuje na Portalu u Registru ugovora, a zatim se objavljuje i zbirno tromesečno obaveštenje. Ako je reč o centralizovanim nabavkama </w:t>
      </w:r>
      <w:r w:rsidR="002F546E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podatke o zaključenim pojedinačnim ugovorima u skladu </w:t>
      </w:r>
      <w:r w:rsidR="002F546E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lastRenderedPageBreak/>
        <w:t>sa članom 152a ZJN</w:t>
      </w:r>
      <w:r w:rsidR="00FA3D4D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-a</w:t>
      </w:r>
      <w:r w:rsidR="002F546E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, objavljuje naručilac koji ih je zaključio</w:t>
      </w:r>
      <w:r w:rsidR="002F546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, a</w:t>
      </w:r>
      <w:r w:rsidR="002F546E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zbirno tromesečno obaveštenje iz člana 109. stav 2. ZJN</w:t>
      </w:r>
      <w:r w:rsidR="00B1582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-a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, objavlјuje centralizovano telo</w:t>
      </w:r>
      <w:r w:rsidR="002F546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.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</w:t>
      </w:r>
    </w:p>
    <w:p w14:paraId="56BD950E" w14:textId="18E534D3" w:rsidR="008B4B4B" w:rsidRPr="0059565B" w:rsidRDefault="008B4B4B" w:rsidP="00B7087D">
      <w:pPr>
        <w:pStyle w:val="Heading5"/>
        <w:numPr>
          <w:ilvl w:val="0"/>
          <w:numId w:val="22"/>
        </w:numPr>
        <w:rPr>
          <w:rFonts w:ascii="Segoe UI" w:eastAsia="Times New Roman" w:hAnsi="Segoe UI" w:cs="Segoe UI"/>
          <w:i/>
          <w:color w:val="auto"/>
          <w:kern w:val="0"/>
          <w:sz w:val="24"/>
          <w:szCs w:val="24"/>
          <w:lang w:eastAsia="sr-Latn-RS"/>
          <w14:ligatures w14:val="none"/>
        </w:rPr>
      </w:pPr>
      <w:r w:rsidRPr="0059565B">
        <w:rPr>
          <w:rFonts w:ascii="Segoe UI" w:eastAsia="Times New Roman" w:hAnsi="Segoe UI" w:cs="Segoe UI"/>
          <w:i/>
          <w:color w:val="auto"/>
          <w:kern w:val="0"/>
          <w:sz w:val="24"/>
          <w:szCs w:val="24"/>
          <w:lang w:eastAsia="sr-Latn-RS"/>
          <w14:ligatures w14:val="none"/>
        </w:rPr>
        <w:t>Izveštavanje o realizaciji pojedinačnih ugovora</w:t>
      </w:r>
    </w:p>
    <w:p w14:paraId="631AABA4" w14:textId="404C6F6D" w:rsidR="008B4B4B" w:rsidRPr="00DC7523" w:rsidRDefault="008B4B4B" w:rsidP="008B4B4B">
      <w:pPr>
        <w:tabs>
          <w:tab w:val="left" w:pos="720"/>
        </w:tabs>
        <w:suppressAutoHyphens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Naručilac je dužan da </w:t>
      </w:r>
      <w:r w:rsidR="002F546E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podatke o svim izmenama ugovor</w:t>
      </w:r>
      <w:r w:rsidR="002F546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a</w:t>
      </w:r>
      <w:r w:rsidR="002F546E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po osnovu čl. 156-161. ZJN</w:t>
      </w:r>
      <w:r w:rsidR="00FA3D4D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-a</w:t>
      </w:r>
      <w:r w:rsidR="002F546E" w:rsidRPr="002F546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</w:t>
      </w:r>
      <w:r w:rsidR="002F546E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objavi na Portalu, u Registru ugovora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u roku od 10 dana od dana izmene. Ujedno, u roku od 10 dana od dana izmene po osnovu čl. 157. i 158. ZJN-a, naručilac je dužan da na Portalu pošalјe na objavlјivanje obaveštenje o izmeni ugovora. </w:t>
      </w:r>
    </w:p>
    <w:p w14:paraId="1D09BFEA" w14:textId="4507DA53" w:rsidR="008B4B4B" w:rsidRDefault="008B4B4B" w:rsidP="008B4B4B">
      <w:pPr>
        <w:tabs>
          <w:tab w:val="left" w:pos="720"/>
        </w:tabs>
        <w:suppressAutoHyphens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Naručilac je dužan da u roku od 45 dana od dana prestanka važenja ugovora objavi na Portalu, u Registru ugovora</w:t>
      </w:r>
      <w:r w:rsidR="00D0638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,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podatke o prestanku važenja </w:t>
      </w:r>
      <w:bookmarkStart w:id="13" w:name="_Hlk158628695"/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ugovora</w:t>
      </w:r>
      <w:bookmarkEnd w:id="13"/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.</w:t>
      </w:r>
      <w:r w:rsidR="00D0638B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S tim u vezi, objavljuje se podatak da li je ugovor izvršen, raskinut, poništen ili jednostrano otkazan, datum isteka njegovog važenja, kao i realizovana vrednost. Pod izvršenjem ugovora smatra se momenat kada su obe ugovorne strane izvršile svoje ugovorne obaveze. Ukoliko je realizovana vrednost ugovora veća od ugovorene</w:t>
      </w:r>
      <w:r w:rsidR="00D0638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,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potrebno je isto obrazložiti na Portalu. Takođe, ukoliko je ugovor</w:t>
      </w:r>
      <w:r w:rsidR="00F83226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raskinut, poništen ili otkazan, razloge za navedeno je potrebno obrazložiti</w:t>
      </w:r>
      <w:r w:rsidR="00D0638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</w:t>
      </w:r>
      <w:r w:rsidR="00D0638B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na Portalu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.  </w:t>
      </w:r>
    </w:p>
    <w:p w14:paraId="1352652D" w14:textId="6C58E68D" w:rsidR="008B4B4B" w:rsidRPr="00DC7523" w:rsidRDefault="008B4B4B" w:rsidP="008B4B4B">
      <w:pPr>
        <w:tabs>
          <w:tab w:val="left" w:pos="720"/>
        </w:tabs>
        <w:suppressAutoHyphens/>
        <w:ind w:right="48"/>
        <w:jc w:val="center"/>
        <w:rPr>
          <w:rFonts w:ascii="Segoe UI" w:eastAsia="Times New Roman" w:hAnsi="Segoe UI" w:cs="Segoe UI"/>
          <w:i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i/>
          <w:color w:val="212529"/>
          <w:kern w:val="0"/>
          <w:sz w:val="24"/>
          <w:szCs w:val="24"/>
          <w:lang w:eastAsia="sr-Latn-RS"/>
          <w14:ligatures w14:val="none"/>
        </w:rPr>
        <w:t xml:space="preserve">Prikaz rokova za objavljivanje </w:t>
      </w:r>
      <w:r w:rsidR="00551F44">
        <w:rPr>
          <w:rFonts w:ascii="Segoe UI" w:eastAsia="Times New Roman" w:hAnsi="Segoe UI" w:cs="Segoe UI"/>
          <w:i/>
          <w:color w:val="212529"/>
          <w:kern w:val="0"/>
          <w:sz w:val="24"/>
          <w:szCs w:val="24"/>
          <w:lang w:eastAsia="sr-Latn-RS"/>
          <w14:ligatures w14:val="none"/>
        </w:rPr>
        <w:t>obaveštenja i pod</w:t>
      </w:r>
      <w:r w:rsidR="00AE31E5">
        <w:rPr>
          <w:rFonts w:ascii="Segoe UI" w:eastAsia="Times New Roman" w:hAnsi="Segoe UI" w:cs="Segoe UI"/>
          <w:i/>
          <w:color w:val="212529"/>
          <w:kern w:val="0"/>
          <w:sz w:val="24"/>
          <w:szCs w:val="24"/>
          <w:lang w:eastAsia="sr-Latn-RS"/>
          <w14:ligatures w14:val="none"/>
        </w:rPr>
        <w:t>a</w:t>
      </w:r>
      <w:r w:rsidR="00551F44">
        <w:rPr>
          <w:rFonts w:ascii="Segoe UI" w:eastAsia="Times New Roman" w:hAnsi="Segoe UI" w:cs="Segoe UI"/>
          <w:i/>
          <w:color w:val="212529"/>
          <w:kern w:val="0"/>
          <w:sz w:val="24"/>
          <w:szCs w:val="24"/>
          <w:lang w:eastAsia="sr-Latn-RS"/>
          <w14:ligatures w14:val="none"/>
        </w:rPr>
        <w:t xml:space="preserve">taka o zaključenim </w:t>
      </w:r>
      <w:r w:rsidRPr="00DC7523">
        <w:rPr>
          <w:rFonts w:ascii="Segoe UI" w:eastAsia="Times New Roman" w:hAnsi="Segoe UI" w:cs="Segoe UI"/>
          <w:i/>
          <w:color w:val="212529"/>
          <w:kern w:val="0"/>
          <w:sz w:val="24"/>
          <w:szCs w:val="24"/>
          <w:lang w:eastAsia="sr-Latn-RS"/>
          <w14:ligatures w14:val="none"/>
        </w:rPr>
        <w:t>ugovor</w:t>
      </w:r>
      <w:r w:rsidR="00551F44">
        <w:rPr>
          <w:rFonts w:ascii="Segoe UI" w:eastAsia="Times New Roman" w:hAnsi="Segoe UI" w:cs="Segoe UI"/>
          <w:i/>
          <w:color w:val="212529"/>
          <w:kern w:val="0"/>
          <w:sz w:val="24"/>
          <w:szCs w:val="24"/>
          <w:lang w:eastAsia="sr-Latn-RS"/>
          <w14:ligatures w14:val="none"/>
        </w:rPr>
        <w:t>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8B4B4B" w:rsidRPr="00DC7523" w14:paraId="100AECBB" w14:textId="77777777" w:rsidTr="00D0638B">
        <w:trPr>
          <w:trHeight w:val="456"/>
        </w:trPr>
        <w:tc>
          <w:tcPr>
            <w:tcW w:w="1271" w:type="dxa"/>
            <w:shd w:val="clear" w:color="auto" w:fill="C4F0C2" w:themeFill="accent3" w:themeFillTint="66"/>
          </w:tcPr>
          <w:p w14:paraId="5B0038A0" w14:textId="77777777" w:rsidR="008B4B4B" w:rsidRPr="00DC7523" w:rsidRDefault="008B4B4B" w:rsidP="008B4B4B">
            <w:pPr>
              <w:tabs>
                <w:tab w:val="left" w:pos="720"/>
              </w:tabs>
              <w:suppressAutoHyphens/>
              <w:ind w:right="48"/>
              <w:jc w:val="both"/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30 dana</w:t>
            </w:r>
          </w:p>
        </w:tc>
        <w:tc>
          <w:tcPr>
            <w:tcW w:w="7745" w:type="dxa"/>
            <w:shd w:val="clear" w:color="auto" w:fill="F2F2F2" w:themeFill="background2" w:themeFillTint="33"/>
          </w:tcPr>
          <w:p w14:paraId="571D09B9" w14:textId="6654C720" w:rsidR="008B4B4B" w:rsidRPr="00D0638B" w:rsidRDefault="008B4B4B" w:rsidP="008B4B4B">
            <w:pPr>
              <w:tabs>
                <w:tab w:val="left" w:pos="720"/>
              </w:tabs>
              <w:suppressAutoHyphens/>
              <w:ind w:right="48"/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sr-Latn-RS"/>
                <w14:ligatures w14:val="none"/>
              </w:rPr>
              <w:t>Podaci o zaključenim ugovorima</w:t>
            </w:r>
            <w:r w:rsidR="001A23E7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sr-Latn-RS"/>
                <w14:ligatures w14:val="none"/>
              </w:rPr>
              <w:t xml:space="preserve"> </w:t>
            </w:r>
            <w:r w:rsidR="00F83226" w:rsidRPr="00DC752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sr-Latn-RS"/>
                <w14:ligatures w14:val="none"/>
              </w:rPr>
              <w:t>u okviru SDN-a</w:t>
            </w:r>
            <w:r w:rsidR="00B1582C">
              <w:rPr>
                <w:rStyle w:val="FootnoteReference"/>
                <w:rFonts w:ascii="Segoe UI" w:eastAsia="Times New Roman" w:hAnsi="Segoe UI" w:cs="Segoe UI"/>
                <w:kern w:val="0"/>
                <w:sz w:val="24"/>
                <w:szCs w:val="24"/>
                <w:lang w:eastAsia="sr-Latn-RS"/>
                <w14:ligatures w14:val="none"/>
              </w:rPr>
              <w:footnoteReference w:id="30"/>
            </w:r>
          </w:p>
        </w:tc>
      </w:tr>
      <w:tr w:rsidR="008B4B4B" w:rsidRPr="00DC7523" w14:paraId="4F574BCC" w14:textId="77777777" w:rsidTr="00D0638B">
        <w:tc>
          <w:tcPr>
            <w:tcW w:w="1271" w:type="dxa"/>
            <w:shd w:val="clear" w:color="auto" w:fill="C4F0C2" w:themeFill="accent3" w:themeFillTint="66"/>
          </w:tcPr>
          <w:p w14:paraId="0E287257" w14:textId="77777777" w:rsidR="008B4B4B" w:rsidRPr="00DC7523" w:rsidRDefault="008B4B4B" w:rsidP="008B4B4B">
            <w:pPr>
              <w:tabs>
                <w:tab w:val="left" w:pos="720"/>
              </w:tabs>
              <w:suppressAutoHyphens/>
              <w:ind w:right="48"/>
              <w:jc w:val="both"/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 xml:space="preserve">30 dana </w:t>
            </w:r>
          </w:p>
        </w:tc>
        <w:tc>
          <w:tcPr>
            <w:tcW w:w="7745" w:type="dxa"/>
            <w:shd w:val="clear" w:color="auto" w:fill="F2F2F2" w:themeFill="background2" w:themeFillTint="33"/>
          </w:tcPr>
          <w:p w14:paraId="40B7341E" w14:textId="0D6FD019" w:rsidR="008B4B4B" w:rsidRPr="00DC7523" w:rsidRDefault="008B4B4B" w:rsidP="008B4B4B">
            <w:pPr>
              <w:tabs>
                <w:tab w:val="left" w:pos="720"/>
              </w:tabs>
              <w:suppressAutoHyphens/>
              <w:ind w:right="48"/>
              <w:jc w:val="both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 xml:space="preserve">Tromesečno objavljuje zbirno obaveštenje o dodeli ugovora koji su zaključeni </w:t>
            </w:r>
            <w:r w:rsidR="00F83226" w:rsidRPr="00DC7523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u okviru SDN-a</w:t>
            </w:r>
            <w:r w:rsidR="00B1582C">
              <w:rPr>
                <w:rStyle w:val="FootnoteReference"/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footnoteReference w:id="31"/>
            </w:r>
          </w:p>
        </w:tc>
      </w:tr>
      <w:tr w:rsidR="008B4B4B" w:rsidRPr="00DC7523" w14:paraId="6266092A" w14:textId="77777777" w:rsidTr="00D0638B">
        <w:tc>
          <w:tcPr>
            <w:tcW w:w="1271" w:type="dxa"/>
            <w:shd w:val="clear" w:color="auto" w:fill="C4F0C2" w:themeFill="accent3" w:themeFillTint="66"/>
          </w:tcPr>
          <w:p w14:paraId="6303B656" w14:textId="77777777" w:rsidR="008B4B4B" w:rsidRPr="00DC7523" w:rsidRDefault="008B4B4B" w:rsidP="008B4B4B">
            <w:pPr>
              <w:tabs>
                <w:tab w:val="left" w:pos="720"/>
              </w:tabs>
              <w:suppressAutoHyphens/>
              <w:ind w:right="48"/>
              <w:jc w:val="both"/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10 dana</w:t>
            </w:r>
          </w:p>
        </w:tc>
        <w:tc>
          <w:tcPr>
            <w:tcW w:w="7745" w:type="dxa"/>
            <w:shd w:val="clear" w:color="auto" w:fill="F2F2F2" w:themeFill="background2" w:themeFillTint="33"/>
          </w:tcPr>
          <w:p w14:paraId="0D070C0D" w14:textId="2E9B2E7B" w:rsidR="008B4B4B" w:rsidRPr="00DC7523" w:rsidRDefault="008B4B4B" w:rsidP="008B4B4B">
            <w:pPr>
              <w:tabs>
                <w:tab w:val="left" w:pos="720"/>
              </w:tabs>
              <w:suppressAutoHyphens/>
              <w:ind w:right="48"/>
              <w:jc w:val="both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Podaci o svim izmenama ugovora</w:t>
            </w:r>
            <w:r w:rsidR="00B1582C">
              <w:rPr>
                <w:rStyle w:val="FootnoteReference"/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footnoteReference w:id="32"/>
            </w:r>
          </w:p>
        </w:tc>
      </w:tr>
      <w:tr w:rsidR="008B4B4B" w:rsidRPr="00DC7523" w14:paraId="10D29C65" w14:textId="77777777" w:rsidTr="00D0638B">
        <w:tc>
          <w:tcPr>
            <w:tcW w:w="1271" w:type="dxa"/>
            <w:shd w:val="clear" w:color="auto" w:fill="C4F0C2" w:themeFill="accent3" w:themeFillTint="66"/>
          </w:tcPr>
          <w:p w14:paraId="7F7A842B" w14:textId="77777777" w:rsidR="008B4B4B" w:rsidRPr="00DC7523" w:rsidRDefault="008B4B4B" w:rsidP="008B4B4B">
            <w:pPr>
              <w:tabs>
                <w:tab w:val="left" w:pos="720"/>
              </w:tabs>
              <w:suppressAutoHyphens/>
              <w:ind w:right="48"/>
              <w:jc w:val="both"/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10 dana</w:t>
            </w:r>
          </w:p>
        </w:tc>
        <w:tc>
          <w:tcPr>
            <w:tcW w:w="7745" w:type="dxa"/>
            <w:shd w:val="clear" w:color="auto" w:fill="F2F2F2" w:themeFill="background2" w:themeFillTint="33"/>
          </w:tcPr>
          <w:p w14:paraId="5AA5419A" w14:textId="651DBAB7" w:rsidR="008B4B4B" w:rsidRPr="00DC7523" w:rsidRDefault="008B4B4B" w:rsidP="008B4B4B">
            <w:pPr>
              <w:tabs>
                <w:tab w:val="left" w:pos="720"/>
              </w:tabs>
              <w:suppressAutoHyphens/>
              <w:ind w:right="48"/>
              <w:jc w:val="both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Obaveštenje o izmeni ugovora po osnovu čl. 157. i 158. ZJN-a</w:t>
            </w:r>
            <w:r w:rsidR="00B1582C">
              <w:rPr>
                <w:rStyle w:val="FootnoteReference"/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footnoteReference w:id="33"/>
            </w:r>
          </w:p>
        </w:tc>
      </w:tr>
      <w:tr w:rsidR="008B4B4B" w:rsidRPr="00DC7523" w14:paraId="3D542F83" w14:textId="77777777" w:rsidTr="00D0638B">
        <w:tc>
          <w:tcPr>
            <w:tcW w:w="1271" w:type="dxa"/>
            <w:shd w:val="clear" w:color="auto" w:fill="C4F0C2" w:themeFill="accent3" w:themeFillTint="66"/>
          </w:tcPr>
          <w:p w14:paraId="7AC6944C" w14:textId="77777777" w:rsidR="008B4B4B" w:rsidRPr="00DC7523" w:rsidRDefault="008B4B4B" w:rsidP="008B4B4B">
            <w:pPr>
              <w:tabs>
                <w:tab w:val="left" w:pos="720"/>
              </w:tabs>
              <w:suppressAutoHyphens/>
              <w:ind w:right="48"/>
              <w:jc w:val="both"/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b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45 dana</w:t>
            </w:r>
          </w:p>
        </w:tc>
        <w:tc>
          <w:tcPr>
            <w:tcW w:w="7745" w:type="dxa"/>
            <w:shd w:val="clear" w:color="auto" w:fill="F2F2F2" w:themeFill="background2" w:themeFillTint="33"/>
          </w:tcPr>
          <w:p w14:paraId="7D6F992C" w14:textId="68147C7B" w:rsidR="008B4B4B" w:rsidRPr="00D0638B" w:rsidRDefault="008B4B4B" w:rsidP="008B4B4B">
            <w:pPr>
              <w:tabs>
                <w:tab w:val="left" w:pos="720"/>
              </w:tabs>
              <w:suppressAutoHyphens/>
              <w:ind w:right="48"/>
              <w:jc w:val="both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DC752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sr-Latn-RS"/>
                <w14:ligatures w14:val="none"/>
              </w:rPr>
              <w:t>Podaci o prestanku važenja ugovora</w:t>
            </w:r>
            <w:r w:rsidR="00B1582C">
              <w:rPr>
                <w:rStyle w:val="FootnoteReference"/>
                <w:rFonts w:ascii="Segoe UI" w:eastAsia="Times New Roman" w:hAnsi="Segoe UI" w:cs="Segoe UI"/>
                <w:kern w:val="0"/>
                <w:sz w:val="24"/>
                <w:szCs w:val="24"/>
                <w:lang w:eastAsia="sr-Latn-RS"/>
                <w14:ligatures w14:val="none"/>
              </w:rPr>
              <w:footnoteReference w:id="34"/>
            </w:r>
          </w:p>
        </w:tc>
      </w:tr>
    </w:tbl>
    <w:tbl>
      <w:tblPr>
        <w:tblStyle w:val="TableGrid"/>
        <w:tblpPr w:leftFromText="180" w:rightFromText="180" w:vertAnchor="text" w:horzAnchor="margin" w:tblpY="90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3A85" w14:paraId="667B3D4A" w14:textId="77777777" w:rsidTr="00813A85">
        <w:tc>
          <w:tcPr>
            <w:tcW w:w="9016" w:type="dxa"/>
            <w:shd w:val="clear" w:color="auto" w:fill="A7E8A4" w:themeFill="accent3" w:themeFillTint="99"/>
          </w:tcPr>
          <w:p w14:paraId="7529FA7B" w14:textId="01BFD85F" w:rsidR="00813A85" w:rsidRDefault="00813A85" w:rsidP="00813A85">
            <w:pPr>
              <w:tabs>
                <w:tab w:val="left" w:pos="720"/>
              </w:tabs>
              <w:suppressAutoHyphens/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A2AF8">
              <w:rPr>
                <w:rFonts w:ascii="Segoe UI" w:eastAsia="Times New Roman" w:hAnsi="Segoe UI" w:cs="Segoe UI"/>
                <w:b/>
                <w:bCs/>
                <w:i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Napomena:</w:t>
            </w:r>
            <w:r w:rsidRPr="008A2AF8">
              <w:rPr>
                <w:rFonts w:ascii="Segoe UI" w:eastAsia="Times New Roman" w:hAnsi="Segoe UI" w:cs="Segoe UI"/>
                <w:bCs/>
                <w:i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 xml:space="preserve"> Neobjavljivanje obaveštenja o dodeli ugovora i podataka u skladu sa članom 152a ZJN-a, predstavlja prekršaj u smislu člana 236. st</w:t>
            </w:r>
            <w:r w:rsidR="00B735DC">
              <w:rPr>
                <w:rFonts w:ascii="Segoe UI" w:eastAsia="Times New Roman" w:hAnsi="Segoe UI" w:cs="Segoe UI"/>
                <w:bCs/>
                <w:i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av</w:t>
            </w:r>
            <w:r w:rsidRPr="008A2AF8">
              <w:rPr>
                <w:rFonts w:ascii="Segoe UI" w:eastAsia="Times New Roman" w:hAnsi="Segoe UI" w:cs="Segoe UI"/>
                <w:bCs/>
                <w:i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 xml:space="preserve"> 1. tač. 8) i 19) ZJN-a</w:t>
            </w:r>
            <w:r w:rsidR="0065307D">
              <w:rPr>
                <w:rFonts w:ascii="Segoe UI" w:eastAsia="Times New Roman" w:hAnsi="Segoe UI" w:cs="Segoe UI"/>
                <w:bCs/>
                <w:i/>
                <w:color w:val="212529"/>
                <w:kern w:val="0"/>
                <w:sz w:val="24"/>
                <w:szCs w:val="24"/>
                <w:lang w:eastAsia="sr-Latn-RS"/>
                <w14:ligatures w14:val="none"/>
              </w:rPr>
              <w:t>.</w:t>
            </w:r>
          </w:p>
        </w:tc>
      </w:tr>
    </w:tbl>
    <w:p w14:paraId="61AF7840" w14:textId="77777777" w:rsidR="008B4B4B" w:rsidRPr="00DC7523" w:rsidRDefault="008B4B4B" w:rsidP="008B4B4B">
      <w:pPr>
        <w:tabs>
          <w:tab w:val="left" w:pos="720"/>
        </w:tabs>
        <w:suppressAutoHyphens/>
        <w:ind w:right="48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sectPr w:rsidR="008B4B4B" w:rsidRPr="00DC7523" w:rsidSect="00831ED2">
          <w:pgSz w:w="11906" w:h="16838"/>
          <w:pgMar w:top="1440" w:right="1440" w:bottom="1440" w:left="1440" w:header="708" w:footer="454" w:gutter="0"/>
          <w:cols w:space="708"/>
          <w:docGrid w:linePitch="360"/>
        </w:sectPr>
      </w:pPr>
    </w:p>
    <w:p w14:paraId="132CE5C5" w14:textId="3EBB7A48" w:rsidR="00F3403F" w:rsidRPr="00222EAD" w:rsidRDefault="00F83226" w:rsidP="00222EAD">
      <w:pPr>
        <w:pStyle w:val="Heading1"/>
        <w:rPr>
          <w:rFonts w:ascii="Segoe UI Emoji" w:hAnsi="Segoe UI Emoji"/>
          <w:sz w:val="80"/>
          <w:szCs w:val="80"/>
        </w:rPr>
      </w:pPr>
      <w:bookmarkStart w:id="14" w:name="_Toc183435404"/>
      <w:r w:rsidRPr="00222EAD">
        <w:rPr>
          <w:rFonts w:ascii="Segoe UI Emoji" w:hAnsi="Segoe UI Emoji"/>
          <w:sz w:val="80"/>
          <w:szCs w:val="80"/>
        </w:rPr>
        <w:lastRenderedPageBreak/>
        <w:t>Prilog</w:t>
      </w:r>
      <w:bookmarkEnd w:id="14"/>
    </w:p>
    <w:p w14:paraId="2988F5FB" w14:textId="77C06460" w:rsidR="00F83226" w:rsidRPr="001C75B2" w:rsidRDefault="00F83226" w:rsidP="001C75B2">
      <w:pPr>
        <w:pStyle w:val="Heading2"/>
        <w:rPr>
          <w:rFonts w:ascii="Segoe UI" w:eastAsiaTheme="minorHAnsi" w:hAnsi="Segoe UI" w:cs="Segoe UI"/>
          <w:b/>
          <w:bCs/>
          <w:color w:val="6EDA69"/>
          <w:sz w:val="40"/>
          <w:szCs w:val="40"/>
        </w:rPr>
      </w:pPr>
      <w:bookmarkStart w:id="15" w:name="_Toc183435405"/>
      <w:r w:rsidRPr="001C75B2">
        <w:rPr>
          <w:rFonts w:ascii="Segoe UI" w:eastAsiaTheme="minorHAnsi" w:hAnsi="Segoe UI" w:cs="Segoe UI"/>
          <w:b/>
          <w:bCs/>
          <w:color w:val="6EDA69"/>
          <w:sz w:val="40"/>
          <w:szCs w:val="40"/>
        </w:rPr>
        <w:t xml:space="preserve">Model </w:t>
      </w:r>
      <w:r w:rsidR="004B2415" w:rsidRPr="001C75B2">
        <w:rPr>
          <w:rFonts w:ascii="Segoe UI" w:eastAsiaTheme="minorHAnsi" w:hAnsi="Segoe UI" w:cs="Segoe UI"/>
          <w:b/>
          <w:bCs/>
          <w:color w:val="6EDA69"/>
          <w:sz w:val="40"/>
          <w:szCs w:val="40"/>
        </w:rPr>
        <w:t>I</w:t>
      </w:r>
      <w:r w:rsidR="009C5A41" w:rsidRPr="001C75B2">
        <w:rPr>
          <w:rFonts w:ascii="Segoe UI" w:eastAsiaTheme="minorHAnsi" w:hAnsi="Segoe UI" w:cs="Segoe UI"/>
          <w:b/>
          <w:bCs/>
          <w:color w:val="6EDA69"/>
          <w:sz w:val="40"/>
          <w:szCs w:val="40"/>
        </w:rPr>
        <w:t>nformacije o načinu vođenja SDN-a</w:t>
      </w:r>
      <w:bookmarkEnd w:id="15"/>
    </w:p>
    <w:p w14:paraId="2AD7AE2A" w14:textId="77777777" w:rsidR="00E64E4B" w:rsidRDefault="00E64E4B" w:rsidP="00F83226">
      <w:pPr>
        <w:spacing w:line="240" w:lineRule="auto"/>
        <w:rPr>
          <w:rFonts w:ascii="Segoe UI" w:hAnsi="Segoe UI" w:cs="Segoe UI"/>
          <w:b/>
          <w:bCs/>
          <w:color w:val="6EDA69"/>
          <w:sz w:val="40"/>
          <w:szCs w:val="40"/>
        </w:rPr>
      </w:pPr>
    </w:p>
    <w:p w14:paraId="700D4536" w14:textId="5CE9D2F8" w:rsidR="004B2415" w:rsidRDefault="00551F44" w:rsidP="00551F44">
      <w:pPr>
        <w:spacing w:line="240" w:lineRule="auto"/>
        <w:jc w:val="center"/>
        <w:rPr>
          <w:rFonts w:ascii="Segoe UI" w:hAnsi="Segoe UI" w:cs="Segoe UI"/>
          <w:b/>
          <w:bCs/>
          <w:sz w:val="36"/>
          <w:szCs w:val="36"/>
        </w:rPr>
      </w:pPr>
      <w:r w:rsidRPr="00551F44">
        <w:rPr>
          <w:rFonts w:ascii="Segoe UI" w:hAnsi="Segoe UI" w:cs="Segoe UI"/>
          <w:b/>
          <w:bCs/>
          <w:sz w:val="36"/>
          <w:szCs w:val="36"/>
        </w:rPr>
        <w:t>Informacije o vo</w:t>
      </w:r>
      <w:r w:rsidR="00113DA4">
        <w:rPr>
          <w:rFonts w:ascii="Segoe UI" w:hAnsi="Segoe UI" w:cs="Segoe UI"/>
          <w:b/>
          <w:bCs/>
          <w:sz w:val="36"/>
          <w:szCs w:val="36"/>
        </w:rPr>
        <w:t>đ</w:t>
      </w:r>
      <w:r w:rsidRPr="00551F44">
        <w:rPr>
          <w:rFonts w:ascii="Segoe UI" w:hAnsi="Segoe UI" w:cs="Segoe UI"/>
          <w:b/>
          <w:bCs/>
          <w:sz w:val="36"/>
          <w:szCs w:val="36"/>
        </w:rPr>
        <w:t>enju SDN-a</w:t>
      </w:r>
    </w:p>
    <w:p w14:paraId="1F99B273" w14:textId="77777777" w:rsidR="00E64E4B" w:rsidRDefault="00E64E4B" w:rsidP="00551F44">
      <w:pPr>
        <w:spacing w:line="240" w:lineRule="auto"/>
        <w:jc w:val="center"/>
        <w:rPr>
          <w:rFonts w:ascii="Segoe UI" w:hAnsi="Segoe UI" w:cs="Segoe UI"/>
          <w:b/>
          <w:bCs/>
          <w:sz w:val="36"/>
          <w:szCs w:val="36"/>
        </w:rPr>
      </w:pPr>
    </w:p>
    <w:p w14:paraId="17A4006E" w14:textId="76E36F68" w:rsidR="009C5A41" w:rsidRPr="00DC7523" w:rsidRDefault="009C5A41" w:rsidP="00B7087D">
      <w:pPr>
        <w:pStyle w:val="ListParagraph"/>
        <w:numPr>
          <w:ilvl w:val="0"/>
          <w:numId w:val="19"/>
        </w:numPr>
        <w:jc w:val="both"/>
        <w:rPr>
          <w:rFonts w:ascii="Segoe UI" w:eastAsia="Times New Roman" w:hAnsi="Segoe UI" w:cs="Segoe UI"/>
          <w:b/>
          <w:color w:val="14196B" w:themeColor="accent1" w:themeShade="80"/>
          <w:kern w:val="0"/>
          <w:sz w:val="28"/>
          <w:szCs w:val="28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b/>
          <w:color w:val="14196B" w:themeColor="accent1" w:themeShade="80"/>
          <w:kern w:val="0"/>
          <w:sz w:val="28"/>
          <w:szCs w:val="28"/>
          <w:lang w:eastAsia="sr-Latn-RS"/>
          <w14:ligatures w14:val="none"/>
        </w:rPr>
        <w:t>Osnovne informacije</w:t>
      </w:r>
    </w:p>
    <w:p w14:paraId="09B14086" w14:textId="7CC274FE" w:rsidR="009C5A41" w:rsidRPr="00DC7523" w:rsidRDefault="009C5A41" w:rsidP="009C5A41">
      <w:pPr>
        <w:jc w:val="both"/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b/>
          <w:kern w:val="0"/>
          <w:sz w:val="24"/>
          <w:szCs w:val="24"/>
          <w:lang w:eastAsia="sr-Latn-RS"/>
          <w14:ligatures w14:val="none"/>
        </w:rPr>
        <w:t xml:space="preserve">Predmet </w:t>
      </w:r>
      <w:r w:rsidR="00E64E4B">
        <w:rPr>
          <w:rFonts w:ascii="Segoe UI" w:eastAsia="Times New Roman" w:hAnsi="Segoe UI" w:cs="Segoe UI"/>
          <w:b/>
          <w:kern w:val="0"/>
          <w:sz w:val="24"/>
          <w:szCs w:val="24"/>
          <w:lang w:eastAsia="sr-Latn-RS"/>
          <w14:ligatures w14:val="none"/>
        </w:rPr>
        <w:t xml:space="preserve">nabavke u okviru </w:t>
      </w:r>
      <w:r w:rsidRPr="00DC7523">
        <w:rPr>
          <w:rFonts w:ascii="Segoe UI" w:eastAsia="Times New Roman" w:hAnsi="Segoe UI" w:cs="Segoe UI"/>
          <w:b/>
          <w:kern w:val="0"/>
          <w:sz w:val="24"/>
          <w:szCs w:val="24"/>
          <w:lang w:eastAsia="sr-Latn-RS"/>
          <w14:ligatures w14:val="none"/>
        </w:rPr>
        <w:t>SDN-a</w:t>
      </w:r>
      <w:r w:rsidR="00E64E4B">
        <w:rPr>
          <w:rFonts w:ascii="Segoe UI" w:eastAsia="Times New Roman" w:hAnsi="Segoe UI" w:cs="Segoe UI"/>
          <w:b/>
          <w:kern w:val="0"/>
          <w:sz w:val="24"/>
          <w:szCs w:val="24"/>
          <w:lang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>______________________</w:t>
      </w:r>
      <w:r w:rsidR="00E64E4B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</w:t>
      </w:r>
      <w:r w:rsidR="00E64E4B" w:rsidRPr="00DC7523">
        <w:rPr>
          <w:rFonts w:ascii="Segoe UI" w:eastAsia="Times New Roman" w:hAnsi="Segoe UI" w:cs="Segoe UI"/>
          <w:i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 xml:space="preserve">(Naručilac </w:t>
      </w:r>
      <w:r w:rsidR="00E64E4B">
        <w:rPr>
          <w:rFonts w:ascii="Segoe UI" w:eastAsia="Times New Roman" w:hAnsi="Segoe UI" w:cs="Segoe UI"/>
          <w:i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>navodi da li su predmet nabavke dobra, usluge ili radovi i naziv predmeta nabavke</w:t>
      </w:r>
      <w:r w:rsidR="00E64E4B" w:rsidRPr="00DC7523">
        <w:rPr>
          <w:rFonts w:ascii="Segoe UI" w:eastAsia="Times New Roman" w:hAnsi="Segoe UI" w:cs="Segoe UI"/>
          <w:i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>)</w:t>
      </w:r>
      <w:r w:rsidRPr="00DC7523">
        <w:rPr>
          <w:rFonts w:ascii="Segoe UI" w:eastAsia="Times New Roman" w:hAnsi="Segoe UI" w:cs="Segoe UI"/>
          <w:b/>
          <w:kern w:val="0"/>
          <w:sz w:val="24"/>
          <w:szCs w:val="24"/>
          <w:lang w:val="sr-Cyrl-RS" w:eastAsia="sr-Latn-RS"/>
          <w14:ligatures w14:val="none"/>
        </w:rPr>
        <w:t>.</w:t>
      </w:r>
      <w:r w:rsidRPr="00DC7523">
        <w:rPr>
          <w:rFonts w:ascii="Segoe UI" w:eastAsia="Times New Roman" w:hAnsi="Segoe UI" w:cs="Segoe UI"/>
          <w:kern w:val="0"/>
          <w:sz w:val="24"/>
          <w:szCs w:val="24"/>
          <w:lang w:eastAsia="sr-Latn-RS"/>
          <w14:ligatures w14:val="none"/>
        </w:rPr>
        <w:t xml:space="preserve"> </w:t>
      </w:r>
    </w:p>
    <w:p w14:paraId="70050FDF" w14:textId="67DFBE0E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Tehničkom specifikacijom, koja čini sastavni deo ove dokumentacije o nabavci predviđene su procenjene količine </w:t>
      </w:r>
      <w:r w:rsidRPr="00DC7523">
        <w:rPr>
          <w:rFonts w:ascii="Segoe UI" w:eastAsia="Times New Roman" w:hAnsi="Segoe UI" w:cs="Segoe UI"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 xml:space="preserve">predmeta nabavke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koje mogu biti nabavlјene tokom trajanja SDN-a. Navedene količine su okvirne, a prilikom svake pojedinačne nabavke tokom trajanja SDN-a, u zavisnosti od  potreba naručioca, biće određene konkretne količine. </w:t>
      </w:r>
    </w:p>
    <w:p w14:paraId="0D3ECAE3" w14:textId="23E58C42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Procenjeni broj pojedinačnih nabavki, odnosno ugovora koji će biti dodelјeni tokom trajanja SDN-a je _______ </w:t>
      </w:r>
      <w:r w:rsidRPr="00DC7523">
        <w:rPr>
          <w:rFonts w:ascii="Segoe UI" w:eastAsia="Times New Roman" w:hAnsi="Segoe UI" w:cs="Segoe UI"/>
          <w:i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>(Naručilac procenjuje i određuje broj pojedinačnih nabavki)</w:t>
      </w:r>
      <w:r w:rsidRPr="00DC7523">
        <w:rPr>
          <w:rFonts w:ascii="Segoe UI" w:eastAsia="Times New Roman" w:hAnsi="Segoe UI" w:cs="Segoe UI"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i isti nije obavezujući, odnosno može biti veći ili manji u zavisnosti od objektivnih potreba naručioca. </w:t>
      </w:r>
    </w:p>
    <w:p w14:paraId="3CFA1718" w14:textId="0D8B1088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Tehničkim specifikacijama određene su okvirne karakteristike predmeta nabavke, a prilikom svake pojedinačne nabavke biće određene konkretne karakteristike, shodno potrebama naručioca i uslovima na tržištu.  </w:t>
      </w:r>
    </w:p>
    <w:p w14:paraId="6154C923" w14:textId="69F0FF9B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SDN se uspostavlјa i vodi primenom pravila restriktivnog postupka i pravila definisanih članom 68. ZJN-a.</w:t>
      </w:r>
    </w:p>
    <w:p w14:paraId="0CB52041" w14:textId="14390604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SDN se uspostavlјa i vodi isklјučivo elektronskim sredstvima putem Portala. Elektronska oprema i tehnički priklјu</w:t>
      </w:r>
      <w:r w:rsidR="001816B2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čci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potrebni za prijavlјivanje i učešće privrednih subjekata u SDN jesu minimalni tehnički uslovi za korišćenje Portala, u skladu sa Uputstvom o korišćenju Portala javnih nabavki (,,Sl. glasnik RS“, br</w:t>
      </w:r>
      <w:r w:rsidR="009B5EB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.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93/20 i 96/23). </w:t>
      </w:r>
    </w:p>
    <w:p w14:paraId="1BA31D9B" w14:textId="05E49545" w:rsidR="009C5A41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SDN je tokom celog perioda njegovog trajanja otvoren za prijem svih privrednih subjekata koji ispunjavaju kriterijume za kvalitativni izbor privrednog subjekta određene ovom konkursnom dokumentacijom, bez naknade. </w:t>
      </w:r>
    </w:p>
    <w:p w14:paraId="2D3F3882" w14:textId="77777777" w:rsidR="00056C0C" w:rsidRPr="00DC7523" w:rsidRDefault="00056C0C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</w:p>
    <w:p w14:paraId="5BB37B6E" w14:textId="40DB1BD7" w:rsidR="009C5A41" w:rsidRPr="00DC7523" w:rsidRDefault="009C5A41" w:rsidP="009C5A41">
      <w:pPr>
        <w:jc w:val="both"/>
        <w:rPr>
          <w:rFonts w:ascii="Segoe UI" w:eastAsia="Times New Roman" w:hAnsi="Segoe UI" w:cs="Segoe UI"/>
          <w:b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b/>
          <w:color w:val="212529"/>
          <w:kern w:val="0"/>
          <w:sz w:val="24"/>
          <w:szCs w:val="24"/>
          <w:lang w:eastAsia="sr-Latn-RS"/>
          <w14:ligatures w14:val="none"/>
        </w:rPr>
        <w:lastRenderedPageBreak/>
        <w:t>Period trajanja SDN-a</w:t>
      </w:r>
    </w:p>
    <w:p w14:paraId="0F9306AD" w14:textId="1D2A0FDE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SDN se uspostavlјa na period od ______ </w:t>
      </w:r>
      <w:r w:rsidRPr="00DC7523">
        <w:rPr>
          <w:rFonts w:ascii="Segoe UI" w:eastAsia="Times New Roman" w:hAnsi="Segoe UI" w:cs="Segoe UI"/>
          <w:i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>(Naručilac navodi period trajanja SDN-a. ZJN-om nisu određena ograničenja u pogledu trajanja SDN-a. Prilikom kreiranja dokumentacije o nabavci na Portalu, Naručilac na odgovarajućem koraku u okviru Opisa pre</w:t>
      </w:r>
      <w:r w:rsidR="00150D08">
        <w:rPr>
          <w:rFonts w:ascii="Segoe UI" w:eastAsia="Times New Roman" w:hAnsi="Segoe UI" w:cs="Segoe UI"/>
          <w:i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>d</w:t>
      </w:r>
      <w:r w:rsidRPr="00DC7523">
        <w:rPr>
          <w:rFonts w:ascii="Segoe UI" w:eastAsia="Times New Roman" w:hAnsi="Segoe UI" w:cs="Segoe UI"/>
          <w:i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>meta/partije, ima mogućnost da u delu ,,Tip trajanja sistema“ odredi period trajanja SDN-a, na više načina, i to: opisno od – do, u mesecima ili u danima)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.</w:t>
      </w:r>
    </w:p>
    <w:p w14:paraId="1673DAEA" w14:textId="28E3656B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Period trajanja SDN-a iz prethodnog stava, može biti izmenjen tokom tog perioda, odnosno može biti produžen za najviše ____________ </w:t>
      </w:r>
      <w:r w:rsidRPr="00DC7523">
        <w:rPr>
          <w:rFonts w:ascii="Segoe UI" w:eastAsia="Times New Roman" w:hAnsi="Segoe UI" w:cs="Segoe UI"/>
          <w:i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>(Naručilac može da opredeli period za koji bi eventualno produžio trajanje SDN-a, što nije obavezan, pa tako može i da samo ostavi zakonsku mogućnost produženja bez određivanja perioda produženja),</w:t>
      </w:r>
      <w:r w:rsidRPr="00DC7523">
        <w:rPr>
          <w:rFonts w:ascii="Segoe UI" w:eastAsia="Times New Roman" w:hAnsi="Segoe UI" w:cs="Segoe UI"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a može biti i okončan pre roka na koji je uspostavlјen. </w:t>
      </w:r>
    </w:p>
    <w:p w14:paraId="75A20218" w14:textId="4BD580EA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U slučaju izmene perioda trajanja SDN-a, informacije o tome biće objavlјene u javnom pozivu, odnosno u izmeni javnog poziva koju će Naručilac objaviti na Portalu, a ako bude okončan pre roka na koji je uspostavlјen, ta informacija će na odgovarajući način biti objavlјena u obrascu obaveštenja o dodeli ugovora. </w:t>
      </w:r>
    </w:p>
    <w:p w14:paraId="633750AC" w14:textId="0CF9E46C" w:rsidR="009C5A41" w:rsidRPr="00DC7523" w:rsidRDefault="009C5A41" w:rsidP="00B7087D">
      <w:pPr>
        <w:pStyle w:val="ListParagraph"/>
        <w:numPr>
          <w:ilvl w:val="0"/>
          <w:numId w:val="19"/>
        </w:numPr>
        <w:jc w:val="both"/>
        <w:rPr>
          <w:rFonts w:ascii="Segoe UI" w:eastAsia="Times New Roman" w:hAnsi="Segoe UI" w:cs="Segoe UI"/>
          <w:b/>
          <w:color w:val="14196B" w:themeColor="accent1" w:themeShade="80"/>
          <w:kern w:val="0"/>
          <w:sz w:val="28"/>
          <w:szCs w:val="28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b/>
          <w:color w:val="14196B" w:themeColor="accent1" w:themeShade="80"/>
          <w:kern w:val="0"/>
          <w:sz w:val="28"/>
          <w:szCs w:val="28"/>
          <w:lang w:eastAsia="sr-Latn-RS"/>
          <w14:ligatures w14:val="none"/>
        </w:rPr>
        <w:t>Način vođenja SDN-a</w:t>
      </w:r>
    </w:p>
    <w:p w14:paraId="5C1EBD5C" w14:textId="1137C961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Naručilac primenjujući pravila restriktivnog postupka, u prvoj fazi objavlјuje na Portalu ovu dokumentaciju o nabavci – javni poziv i konkursnu dokumentaciju. Navedena dokumentacija je dostupna tokom čitavog perioda trajanja SDN-a na Portalu (uklјučujući sve zahteve za dodatnim pojašnjenjima, dodatna pojašnjenja i izmene dokumentacije).        </w:t>
      </w:r>
    </w:p>
    <w:p w14:paraId="22535B53" w14:textId="4E4C831F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Svi zainteresovani privredni subjekti mogu da podnesu prijavu tokom čitavog perioda trajanja SDN-a, a kandidati (privredni subjekti koji su podneli prijavu) kojima je priznata kvalifikacija, odnosno koji su primlјeni u SDN, imaju pristup sistemu tokom čitavog perioda njegovog trajanja.                                                                                                          </w:t>
      </w:r>
    </w:p>
    <w:p w14:paraId="72E33E04" w14:textId="1E547DAA" w:rsidR="009C5A41" w:rsidRPr="00DC7523" w:rsidRDefault="009C5A41" w:rsidP="009C5A41">
      <w:pPr>
        <w:pStyle w:val="FootnoteText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Početni rok za podnošenje prijava je _____ dana </w:t>
      </w:r>
      <w:r w:rsidRPr="00DC7523">
        <w:rPr>
          <w:rFonts w:ascii="Segoe UI" w:eastAsia="Times New Roman" w:hAnsi="Segoe UI" w:cs="Segoe UI"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>(Rok se određuje u skladu sa članom 68. stav 8. tač. 1) i</w:t>
      </w:r>
      <w:r w:rsidR="00B735DC">
        <w:rPr>
          <w:rFonts w:ascii="Segoe UI" w:eastAsia="Times New Roman" w:hAnsi="Segoe UI" w:cs="Segoe UI"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>li</w:t>
      </w:r>
      <w:r w:rsidRPr="00DC7523">
        <w:rPr>
          <w:rFonts w:ascii="Segoe UI" w:eastAsia="Times New Roman" w:hAnsi="Segoe UI" w:cs="Segoe UI"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 xml:space="preserve"> 2) ZJN-a i može biti minimum 30 ili 20 dana u zavisnosti da li je procenjena vrednost javne nabavke jednaka ili veća od iznosa evropskih pragova ili je manja od tog iznosa),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od dana slanja na objavlјivanje javnog poziva na Portal. Nakon isteka početnog roka za podnošenje prijava svaki zainteresovani privredni subjekt može da podnese prijavu u bilo kom trenutku tokom perioda trajanja SDN-a. Za podnošenje prijava nakon isteka početnog roka nema poseb</w:t>
      </w:r>
      <w:r w:rsidR="0086264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n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ih rokova, odnosno sve dok traje SDN može se podneti prijava. </w:t>
      </w:r>
    </w:p>
    <w:p w14:paraId="4DA2F21E" w14:textId="77777777" w:rsidR="003C36E1" w:rsidRPr="00DC7523" w:rsidRDefault="003C36E1" w:rsidP="009C5A41">
      <w:pPr>
        <w:pStyle w:val="FootnoteText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</w:p>
    <w:p w14:paraId="12CF0881" w14:textId="3B06A931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Otvaranje prijava se vrši automatski putem Portala.</w:t>
      </w:r>
    </w:p>
    <w:p w14:paraId="2B8609D1" w14:textId="4637F231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Do isteka početnog roka za podnošenje prijava, privredni subjekti koji podnesu prijavu, imaju mogućnost da svoju prijavu izmene, dopune ili opozovu, koja mogućnost ne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lastRenderedPageBreak/>
        <w:t xml:space="preserve">postoji za prijave koje se podnose nakon isteka početnog roka za podnošenje prijava, s obzirom na to da se trenutkom podnošenja, prijava automatski otvara na Portalu. </w:t>
      </w:r>
    </w:p>
    <w:p w14:paraId="50335F4E" w14:textId="6F5248FF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Naručilac će u roku od 10 (deset) radnih dana od dana prijema prijava izvršiti ocenu prijava, u skladu sa kriterijumima za kvalitativni izbor privrednog subjekta i doneti odluku o prijemu privrednog subjekta u SDN. Navedeni rok za ocenu prijava izuzetno može da se produži na 15 radnih dana ako se za tim ukaže potreba u konkretnom slučaju, posebno zbog provere da li su ispunjeni kriterijumi za kvalitativni izbor privrednog subjekta. </w:t>
      </w:r>
    </w:p>
    <w:p w14:paraId="5DDC1F02" w14:textId="52FF1E31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Naručilac zadržava pravo da, sve dok ne pošalјe poziv za podnošenje ponuda za prvu posebnu nabavku u okviru SDN-a, dodatno produži rok za ocenu prijava za _________ </w:t>
      </w:r>
      <w:r w:rsidRPr="00DC7523">
        <w:rPr>
          <w:rFonts w:ascii="Segoe UI" w:eastAsia="Times New Roman" w:hAnsi="Segoe UI" w:cs="Segoe UI"/>
          <w:i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>(Naručilac određuje za koliko će produžiti rok za ocenu prijava. Zakonskih ograničenja u pogledu tog roka nema, ali se naručilac uvek treba pridržavati načela efikasnosti),</w:t>
      </w:r>
      <w:r w:rsidRPr="00DC7523">
        <w:rPr>
          <w:rFonts w:ascii="Segoe UI" w:eastAsia="Times New Roman" w:hAnsi="Segoe UI" w:cs="Segoe UI"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 xml:space="preserve">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pod uslovom da tokom produženog roka ne pošalјe nijedan poziv za podnošenje ponuda.</w:t>
      </w:r>
    </w:p>
    <w:p w14:paraId="385E902F" w14:textId="2BD15A0C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Nakon ocene prijava Naručilac će svim privrednim subjektima bez odlaganja putem Portala dostaviti odluku o rezultatitima ocene prijava. Kandidatima kojima je priznata kvalifikacija (čija prijava nije ocenjena kao neprihvatlјiva), Naručilac putem Portala dostavlјa odluku o prijemu u SDN, a kandidatima čija je prijava ocenjena kao neprihvatlјiva, dostavlјa odluku </w:t>
      </w:r>
      <w:r w:rsidR="003C36E1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o isključenju kandidata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sa obrazloženjem razloga zbog kojih mu nije priznata kvalifikacija</w:t>
      </w:r>
      <w:r w:rsidR="003C36E1" w:rsidRPr="00DC7523">
        <w:rPr>
          <w:rStyle w:val="FootnoteReference"/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footnoteReference w:id="35"/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. </w:t>
      </w:r>
    </w:p>
    <w:p w14:paraId="1ECE35BD" w14:textId="28A94EB8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Naručilac može u bilo kom trenutku tokom perioda trajanja SDN-a od odabranih kandidata koji su uklјučeni u SDN da zahteva dostavlјanje obnovlјene i usklađene izjave o ispunjenosti kriterijuma za kvalitativni izbor privrednog subjekta, a koji su dužni da istu dostave u roku od 5 (pet) radnih dana od dana dostavlјanja zahteva.</w:t>
      </w:r>
    </w:p>
    <w:p w14:paraId="67F06541" w14:textId="6A8E32BB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Tokom čitavog perioda trajanja SDN-a, naručilac može da zatraži od ponuđača i kandidata da dostave sve dokaze ili deo dokaza o ispunjenosti kriterijuma za kvalitativni izbor privrednog subjekta radi provere podataka navedenih u izjavi o ispunjenosti kriterijuma, ako je to potrebno za pravilno sprovođenje postupka.</w:t>
      </w:r>
    </w:p>
    <w:p w14:paraId="0C696767" w14:textId="17FA0565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Ukoliko kandidati ne dostave obnovlјene i usklađene izjave, odnosno dokaze ili deo dokaza o ispunjenosti kriterijuma za kvalitativni izbor privrednog subjekta, biće isklјučeni iz SDN-a. Isklјučeni kandidati mogu ponovo da podnesu prijavu u toku trajanja SDN-a.</w:t>
      </w:r>
    </w:p>
    <w:p w14:paraId="42B08667" w14:textId="78588E14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U toku trajanja rokova </w:t>
      </w:r>
      <w:r w:rsidR="00D0638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datim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kandidatima da </w:t>
      </w:r>
      <w:r w:rsidR="003C36E1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n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aručiocu dostave obnovlјene i usklađene izjave, odnosno dokaze ili deo dokaza o ispunjenosti kriterijuma za kvalitativni izbor privrednog subjekta, </w:t>
      </w:r>
      <w:r w:rsidR="003C36E1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n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aručilac neće sprovoditi pojedinačne nabavke u okviru SDN-a.</w:t>
      </w:r>
    </w:p>
    <w:p w14:paraId="0920E8CD" w14:textId="4E74DD33" w:rsidR="009C5A41" w:rsidRPr="00DC7523" w:rsidRDefault="009C5A41" w:rsidP="00B7087D">
      <w:pPr>
        <w:pStyle w:val="ListParagraph"/>
        <w:numPr>
          <w:ilvl w:val="0"/>
          <w:numId w:val="19"/>
        </w:numPr>
        <w:jc w:val="both"/>
        <w:rPr>
          <w:rFonts w:ascii="Segoe UI" w:eastAsia="Times New Roman" w:hAnsi="Segoe UI" w:cs="Segoe UI"/>
          <w:b/>
          <w:color w:val="14196B" w:themeColor="accent1" w:themeShade="80"/>
          <w:kern w:val="0"/>
          <w:sz w:val="28"/>
          <w:szCs w:val="28"/>
          <w:lang w:val="sr-Cyrl-RS" w:eastAsia="sr-Latn-RS"/>
          <w14:ligatures w14:val="none"/>
        </w:rPr>
      </w:pPr>
      <w:r w:rsidRPr="00DC7523">
        <w:rPr>
          <w:rFonts w:ascii="Segoe UI" w:eastAsia="Times New Roman" w:hAnsi="Segoe UI" w:cs="Segoe UI"/>
          <w:b/>
          <w:color w:val="14196B" w:themeColor="accent1" w:themeShade="80"/>
          <w:kern w:val="0"/>
          <w:sz w:val="28"/>
          <w:szCs w:val="28"/>
          <w:lang w:val="sr-Cyrl-RS" w:eastAsia="sr-Latn-RS"/>
          <w14:ligatures w14:val="none"/>
        </w:rPr>
        <w:lastRenderedPageBreak/>
        <w:t>Dodela ugovora na osnovu</w:t>
      </w:r>
      <w:r w:rsidRPr="00DC7523">
        <w:rPr>
          <w:rFonts w:ascii="Segoe UI" w:eastAsia="Times New Roman" w:hAnsi="Segoe UI" w:cs="Segoe UI"/>
          <w:b/>
          <w:color w:val="14196B" w:themeColor="accent1" w:themeShade="80"/>
          <w:kern w:val="0"/>
          <w:sz w:val="28"/>
          <w:szCs w:val="28"/>
          <w:lang w:eastAsia="sr-Latn-RS"/>
          <w14:ligatures w14:val="none"/>
        </w:rPr>
        <w:t xml:space="preserve"> SDN-a</w:t>
      </w:r>
      <w:r w:rsidRPr="00DC7523">
        <w:rPr>
          <w:rFonts w:ascii="Segoe UI" w:eastAsia="Times New Roman" w:hAnsi="Segoe UI" w:cs="Segoe UI"/>
          <w:b/>
          <w:color w:val="14196B" w:themeColor="accent1" w:themeShade="80"/>
          <w:kern w:val="0"/>
          <w:sz w:val="28"/>
          <w:szCs w:val="28"/>
          <w:lang w:val="sr-Cyrl-RS" w:eastAsia="sr-Latn-RS"/>
          <w14:ligatures w14:val="none"/>
        </w:rPr>
        <w:t xml:space="preserve"> – druga faza postupka</w:t>
      </w:r>
    </w:p>
    <w:p w14:paraId="4E8FA99C" w14:textId="2A659CFB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Naručilac pristupa sprovođenju druge faze postupka, odnosno pristupa postupku dodele pojedinačnih ugovora, kada nastane potreba za svakom pojedinačnom nabavkom koja su predmet ove javne nabavke. </w:t>
      </w:r>
    </w:p>
    <w:p w14:paraId="786A94CB" w14:textId="18670A49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U drugoj fazi postupka mogu da učestvuju samo kandidati koji su prethodno primlјeni u SDN.</w:t>
      </w:r>
    </w:p>
    <w:p w14:paraId="2BDB28C2" w14:textId="0F04739C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Kada nastane potreba za pojedinačnom nabavkom, Naručilac će istovremeno, putem Portala, uputiti poziv svim kandidatima koji su primlјeni SDN-u da podnesu ponudu za pojedinačnu nabavku. </w:t>
      </w:r>
    </w:p>
    <w:p w14:paraId="11B75B71" w14:textId="7E8E5FA2" w:rsidR="009C5A41" w:rsidRPr="00DC7523" w:rsidRDefault="009C5A41" w:rsidP="009C5A41">
      <w:pPr>
        <w:jc w:val="both"/>
        <w:rPr>
          <w:rFonts w:ascii="Segoe UI" w:eastAsia="Times New Roman" w:hAnsi="Segoe UI" w:cs="Segoe UI"/>
          <w:color w:val="36C130" w:themeColor="accent3" w:themeShade="BF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Za svaku pojedinačnu nabavku u SDN-u, naručilac će u zavisnosti od predmeta nabavke, količine i karakteristika, na osnovu istraživanja tržišta odrediti procenjenu vrednost konkretne nabavke. Procenjena vrednost biće određena internim dokumentom naručioca kojim se inicira pojedinačna nabavka u SDN-u i istu naručilac navodi u dokumentaciji o nabavci za svaku pojedinačnu nabavku</w:t>
      </w:r>
      <w:r w:rsidR="003C36E1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</w:t>
      </w:r>
      <w:r w:rsidR="003C36E1" w:rsidRPr="00DC7523">
        <w:rPr>
          <w:rFonts w:ascii="Segoe UI" w:eastAsia="Times New Roman" w:hAnsi="Segoe UI" w:cs="Segoe UI"/>
          <w:i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>(ZJN-om nije propisana obaveza određivanja procenjene vrednosti pojedinačne nabavke, ali se naručiocima preporučuje da</w:t>
      </w:r>
      <w:r w:rsidR="00D0638B" w:rsidRPr="00DC7523">
        <w:rPr>
          <w:rFonts w:ascii="Segoe UI" w:eastAsia="Times New Roman" w:hAnsi="Segoe UI" w:cs="Segoe UI"/>
          <w:i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 xml:space="preserve"> to</w:t>
      </w:r>
      <w:r w:rsidR="003C36E1" w:rsidRPr="00DC7523">
        <w:rPr>
          <w:rFonts w:ascii="Segoe UI" w:eastAsia="Times New Roman" w:hAnsi="Segoe UI" w:cs="Segoe UI"/>
          <w:i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 xml:space="preserve"> učine)</w:t>
      </w:r>
      <w:r w:rsidRPr="00DC7523">
        <w:rPr>
          <w:rFonts w:ascii="Segoe UI" w:eastAsia="Times New Roman" w:hAnsi="Segoe UI" w:cs="Segoe UI"/>
          <w:i/>
          <w:color w:val="36C130" w:themeColor="accent3" w:themeShade="BF"/>
          <w:kern w:val="0"/>
          <w:sz w:val="24"/>
          <w:szCs w:val="24"/>
          <w:lang w:eastAsia="sr-Latn-RS"/>
          <w14:ligatures w14:val="none"/>
        </w:rPr>
        <w:t>.</w:t>
      </w:r>
    </w:p>
    <w:p w14:paraId="423BC409" w14:textId="71D6FC0B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Dokumentacija za pojedinačnu nabavku sadrži bliže uslove </w:t>
      </w:r>
      <w:r w:rsidR="00D0638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u vezi sa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izvršenje</w:t>
      </w:r>
      <w:r w:rsidR="00D0638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m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pojedinačne nabavke, odnosno konkretan predmet pojedinačne nabavke, sa tehničkom specifikacijom, količinama, obrascem strukture cene i ostalom dokumentacijom potrebnom u cilјu zaklјučenja pojedinačnog ugovora. </w:t>
      </w:r>
    </w:p>
    <w:p w14:paraId="09DC59C6" w14:textId="58134EBC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Minimalni rok za podnošenje ponuda za pojedinačne nabavke je 10 (deset) dana od dana slanja poziva za podnošenje ponuda kandidatima koji su primlјeni u SDN. Naručilac </w:t>
      </w:r>
      <w:r w:rsidR="00E64E4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će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u pozivu za podnošenje ponuda precizira</w:t>
      </w:r>
      <w:r w:rsidR="00E64E4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ti rok, odnosno 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tačan datum i vreme za podnošenje ponude za svaku pojedinačnu nabavku. </w:t>
      </w:r>
    </w:p>
    <w:p w14:paraId="656CC5DD" w14:textId="7524477B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Kandidati nisu u obavezi da podnesu ponudu za pojedinačnu nabavku, što neće uticati na njihov status kandidata i dalјe učešće u SDN-u.</w:t>
      </w:r>
    </w:p>
    <w:p w14:paraId="18EF8D53" w14:textId="59EBB5C3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Otvaranje ponuda za pojedinačne nabavke vrši se putem Portala.</w:t>
      </w:r>
    </w:p>
    <w:p w14:paraId="390D5B0E" w14:textId="21E682D7" w:rsidR="009C5A41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Naručilac dodelјuje ugovor o javnoj nabavci u okviru SDN-a ponuđaču koji je podneo najpovolјniju ponudu za pojedinačnu nabavku na osnovu kriterijuma ekonomski najpovolјnije ponude navedeni</w:t>
      </w:r>
      <w:r w:rsidR="004B2415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m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 u javnom pozivu, pri čemu </w:t>
      </w:r>
      <w:r w:rsidR="004B2415"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>n</w:t>
      </w: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t xml:space="preserve">aručilac te kriterijume određuje u pozivu za podnošenje ponude i može da ih preciznije odredi.  </w:t>
      </w:r>
    </w:p>
    <w:p w14:paraId="7DBD6913" w14:textId="506B00E0" w:rsidR="00F3403F" w:rsidRPr="00DC7523" w:rsidRDefault="009C5A41" w:rsidP="009C5A41">
      <w:pPr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</w:pPr>
      <w:r w:rsidRPr="00DC752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sr-Latn-RS"/>
          <w14:ligatures w14:val="none"/>
        </w:rPr>
        <w:br w:type="page"/>
      </w:r>
    </w:p>
    <w:p w14:paraId="20DC62A1" w14:textId="2FFB45A5" w:rsidR="00DE58F5" w:rsidRPr="00DC7523" w:rsidRDefault="00DE58F5">
      <w:pPr>
        <w:rPr>
          <w:rFonts w:ascii="Segoe UI" w:hAnsi="Segoe UI" w:cs="Segoe UI"/>
        </w:rPr>
      </w:pPr>
      <w:r w:rsidRPr="00DC7523">
        <w:rPr>
          <w:rFonts w:ascii="Segoe UI" w:hAnsi="Segoe UI" w:cs="Segoe UI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915B82A" wp14:editId="42052D6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275" cy="10675620"/>
            <wp:effectExtent l="0" t="0" r="0" b="0"/>
            <wp:wrapThrough wrapText="bothSides">
              <wp:wrapPolygon edited="0">
                <wp:start x="0" y="0"/>
                <wp:lineTo x="0" y="21546"/>
                <wp:lineTo x="21520" y="21546"/>
                <wp:lineTo x="21520" y="0"/>
                <wp:lineTo x="0" y="0"/>
              </wp:wrapPolygon>
            </wp:wrapThrough>
            <wp:docPr id="209436246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362461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275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58F5" w:rsidRPr="00DC7523" w:rsidSect="004041B3">
      <w:footerReference w:type="default" r:id="rId23"/>
      <w:pgSz w:w="11906" w:h="16838"/>
      <w:pgMar w:top="1440" w:right="1440" w:bottom="1440" w:left="1440" w:header="708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03063C" w16cex:dateUtc="2024-11-26T20:57:00Z"/>
  <w16cex:commentExtensible w16cex:durableId="619E99D1" w16cex:dateUtc="2024-11-26T21:00:00Z"/>
  <w16cex:commentExtensible w16cex:durableId="147A1266" w16cex:dateUtc="2024-11-26T21:06:00Z"/>
  <w16cex:commentExtensible w16cex:durableId="3A2CB4C3" w16cex:dateUtc="2024-11-26T21:07:00Z"/>
  <w16cex:commentExtensible w16cex:durableId="6236C0BB" w16cex:dateUtc="2024-11-26T21:12:00Z"/>
  <w16cex:commentExtensible w16cex:durableId="75E48FFC" w16cex:dateUtc="2024-11-26T21:15:00Z"/>
  <w16cex:commentExtensible w16cex:durableId="2302101F" w16cex:dateUtc="2024-11-26T21:18:00Z"/>
  <w16cex:commentExtensible w16cex:durableId="293CAFEB" w16cex:dateUtc="2024-11-26T21:18:00Z"/>
  <w16cex:commentExtensible w16cex:durableId="592AD5EF" w16cex:dateUtc="2024-11-26T21:23:00Z"/>
  <w16cex:commentExtensible w16cex:durableId="45CA5AC6" w16cex:dateUtc="2024-11-26T21:25:00Z"/>
  <w16cex:commentExtensible w16cex:durableId="69F9C210" w16cex:dateUtc="2024-11-26T21:28:00Z"/>
  <w16cex:commentExtensible w16cex:durableId="602D4804" w16cex:dateUtc="2024-11-26T21:31:00Z"/>
  <w16cex:commentExtensible w16cex:durableId="28D31ACE" w16cex:dateUtc="2024-11-26T21:33:00Z"/>
  <w16cex:commentExtensible w16cex:durableId="1E0D172C" w16cex:dateUtc="2024-11-26T21:35:00Z"/>
  <w16cex:commentExtensible w16cex:durableId="6C4E9507" w16cex:dateUtc="2024-11-26T21:37:00Z"/>
  <w16cex:commentExtensible w16cex:durableId="7A1AF724" w16cex:dateUtc="2024-11-26T21:41:00Z"/>
  <w16cex:commentExtensible w16cex:durableId="62607891" w16cex:dateUtc="2024-11-26T21:45:00Z"/>
  <w16cex:commentExtensible w16cex:durableId="4F76E8B9" w16cex:dateUtc="2024-11-26T21:58:00Z"/>
  <w16cex:commentExtensible w16cex:durableId="7C4A50F4" w16cex:dateUtc="2024-11-26T22:00:00Z"/>
  <w16cex:commentExtensible w16cex:durableId="14C7F173" w16cex:dateUtc="2024-11-26T22:03:00Z"/>
  <w16cex:commentExtensible w16cex:durableId="0EE54EEF" w16cex:dateUtc="2024-11-26T22:05:00Z"/>
  <w16cex:commentExtensible w16cex:durableId="42D67E8C" w16cex:dateUtc="2024-11-26T22:05:00Z"/>
  <w16cex:commentExtensible w16cex:durableId="3008EBD8" w16cex:dateUtc="2024-11-26T22:07:00Z"/>
  <w16cex:commentExtensible w16cex:durableId="28F21296" w16cex:dateUtc="2024-11-26T22:08:00Z"/>
  <w16cex:commentExtensible w16cex:durableId="0CB6ECE8" w16cex:dateUtc="2024-11-26T22:09:00Z"/>
  <w16cex:commentExtensible w16cex:durableId="31FFCE4C" w16cex:dateUtc="2024-11-26T22:10:00Z"/>
  <w16cex:commentExtensible w16cex:durableId="6D01FAB2" w16cex:dateUtc="2024-11-26T22:11:00Z"/>
  <w16cex:commentExtensible w16cex:durableId="1E53D97D" w16cex:dateUtc="2024-11-26T22:13:00Z"/>
  <w16cex:commentExtensible w16cex:durableId="6A8DB84D" w16cex:dateUtc="2024-11-26T22:15:00Z"/>
  <w16cex:commentExtensible w16cex:durableId="1C5851B9" w16cex:dateUtc="2024-11-26T22:17:00Z"/>
  <w16cex:commentExtensible w16cex:durableId="4BEDF5FB" w16cex:dateUtc="2024-11-26T22:20:00Z"/>
  <w16cex:commentExtensible w16cex:durableId="0FA3B794" w16cex:dateUtc="2024-11-26T22:22:00Z"/>
  <w16cex:commentExtensible w16cex:durableId="517E4106" w16cex:dateUtc="2024-11-26T22:23:00Z"/>
  <w16cex:commentExtensible w16cex:durableId="73BC50D3" w16cex:dateUtc="2024-11-26T22:29:00Z"/>
  <w16cex:commentExtensible w16cex:durableId="1CE1F82B" w16cex:dateUtc="2024-11-26T22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92B97" w14:textId="77777777" w:rsidR="0007499C" w:rsidRDefault="0007499C" w:rsidP="004041B3">
      <w:pPr>
        <w:spacing w:after="0" w:line="240" w:lineRule="auto"/>
      </w:pPr>
      <w:r>
        <w:separator/>
      </w:r>
    </w:p>
  </w:endnote>
  <w:endnote w:type="continuationSeparator" w:id="0">
    <w:p w14:paraId="64932036" w14:textId="77777777" w:rsidR="0007499C" w:rsidRDefault="0007499C" w:rsidP="0040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ight">
    <w:altName w:val="Century Gothic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4405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CD348" w14:textId="77777777" w:rsidR="009C0C7B" w:rsidRDefault="009C0C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023C89" w14:textId="77777777" w:rsidR="009C0C7B" w:rsidRDefault="009C0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9550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4D71A" w14:textId="7E27D215" w:rsidR="009C0C7B" w:rsidRDefault="009C0C7B">
        <w:pPr>
          <w:pStyle w:val="Footer"/>
          <w:jc w:val="center"/>
        </w:pPr>
      </w:p>
      <w:p w14:paraId="2E3B2F00" w14:textId="5A6BCA15" w:rsidR="009C0C7B" w:rsidRDefault="009C0C7B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0A933652" wp14:editId="718D006D">
              <wp:simplePos x="0" y="0"/>
              <wp:positionH relativeFrom="column">
                <wp:posOffset>5294630</wp:posOffset>
              </wp:positionH>
              <wp:positionV relativeFrom="paragraph">
                <wp:posOffset>-86673</wp:posOffset>
              </wp:positionV>
              <wp:extent cx="1070610" cy="504825"/>
              <wp:effectExtent l="0" t="0" r="0" b="9525"/>
              <wp:wrapThrough wrapText="bothSides">
                <wp:wrapPolygon edited="0">
                  <wp:start x="0" y="0"/>
                  <wp:lineTo x="0" y="12226"/>
                  <wp:lineTo x="384" y="15487"/>
                  <wp:lineTo x="5381" y="21192"/>
                  <wp:lineTo x="7687" y="21192"/>
                  <wp:lineTo x="21139" y="21192"/>
                  <wp:lineTo x="21139" y="815"/>
                  <wp:lineTo x="3075" y="0"/>
                  <wp:lineTo x="0" y="0"/>
                </wp:wrapPolygon>
              </wp:wrapThrough>
              <wp:docPr id="8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0122539" name=""/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0610" cy="504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9C0F36" w14:textId="4091E876" w:rsidR="009C0C7B" w:rsidRDefault="009C0C7B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AD3204D" wp14:editId="45076B31">
          <wp:simplePos x="0" y="0"/>
          <wp:positionH relativeFrom="column">
            <wp:posOffset>5581650</wp:posOffset>
          </wp:positionH>
          <wp:positionV relativeFrom="paragraph">
            <wp:posOffset>718498</wp:posOffset>
          </wp:positionV>
          <wp:extent cx="1181735" cy="1801495"/>
          <wp:effectExtent l="0" t="0" r="0" b="0"/>
          <wp:wrapNone/>
          <wp:docPr id="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947854" name="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t="22911" b="-22911"/>
                  <a:stretch/>
                </pic:blipFill>
                <pic:spPr bwMode="auto">
                  <a:xfrm>
                    <a:off x="0" y="0"/>
                    <a:ext cx="1181735" cy="180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FC97A34" wp14:editId="05BAAD9E">
          <wp:simplePos x="0" y="0"/>
          <wp:positionH relativeFrom="rightMargin">
            <wp:posOffset>635</wp:posOffset>
          </wp:positionH>
          <wp:positionV relativeFrom="paragraph">
            <wp:posOffset>1779867</wp:posOffset>
          </wp:positionV>
          <wp:extent cx="791210" cy="1205865"/>
          <wp:effectExtent l="0" t="0" r="8890" b="0"/>
          <wp:wrapNone/>
          <wp:docPr id="1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585658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C5EF4" w14:textId="77777777" w:rsidR="0007499C" w:rsidRDefault="0007499C" w:rsidP="004041B3">
      <w:pPr>
        <w:spacing w:after="0" w:line="240" w:lineRule="auto"/>
      </w:pPr>
      <w:r>
        <w:separator/>
      </w:r>
    </w:p>
  </w:footnote>
  <w:footnote w:type="continuationSeparator" w:id="0">
    <w:p w14:paraId="087B9FD2" w14:textId="77777777" w:rsidR="0007499C" w:rsidRDefault="0007499C" w:rsidP="004041B3">
      <w:pPr>
        <w:spacing w:after="0" w:line="240" w:lineRule="auto"/>
      </w:pPr>
      <w:r>
        <w:continuationSeparator/>
      </w:r>
    </w:p>
  </w:footnote>
  <w:footnote w:id="1">
    <w:p w14:paraId="011A2B7C" w14:textId="3956499F" w:rsidR="009C0C7B" w:rsidRPr="00BB1D7B" w:rsidRDefault="009C0C7B" w:rsidP="00C535B8">
      <w:pPr>
        <w:pStyle w:val="FootnoteText"/>
      </w:pPr>
      <w:r>
        <w:rPr>
          <w:rStyle w:val="FootnoteReference"/>
        </w:rPr>
        <w:footnoteRef/>
      </w:r>
      <w:r>
        <w:t xml:space="preserve"> Direktiva 2004/17/</w:t>
      </w:r>
      <w:r>
        <w:rPr>
          <w:lang w:val="sr-Cyrl-RS"/>
        </w:rPr>
        <w:t>Е</w:t>
      </w:r>
      <w:r>
        <w:t>Z i Direktiva 2004/18/EZ.</w:t>
      </w:r>
    </w:p>
  </w:footnote>
  <w:footnote w:id="2">
    <w:p w14:paraId="1DD4D564" w14:textId="3E532809" w:rsidR="009C0C7B" w:rsidRPr="003E2A9A" w:rsidRDefault="009C0C7B" w:rsidP="000A5685">
      <w:pPr>
        <w:pStyle w:val="FootnoteText"/>
      </w:pPr>
      <w:r>
        <w:rPr>
          <w:rStyle w:val="FootnoteReference"/>
        </w:rPr>
        <w:footnoteRef/>
      </w:r>
      <w:r>
        <w:t xml:space="preserve"> Direktiva 2014/24/EU i Direktiva</w:t>
      </w:r>
      <w:r>
        <w:rPr>
          <w:lang w:val="sr-Cyrl-RS"/>
        </w:rPr>
        <w:t xml:space="preserve"> </w:t>
      </w:r>
      <w:r>
        <w:t>2014/25/EU.</w:t>
      </w:r>
    </w:p>
  </w:footnote>
  <w:footnote w:id="3">
    <w:p w14:paraId="4A107212" w14:textId="1733C1DB" w:rsidR="009C0C7B" w:rsidRPr="0000434B" w:rsidRDefault="009C0C7B" w:rsidP="00077C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434B">
        <w:t>https://jnportal.ujn.gov.rs/annual-reports-ppo-public</w:t>
      </w:r>
      <w:r>
        <w:t>.</w:t>
      </w:r>
    </w:p>
  </w:footnote>
  <w:footnote w:id="4">
    <w:p w14:paraId="344AC988" w14:textId="37A0A735" w:rsidR="009C0C7B" w:rsidRPr="00B05062" w:rsidRDefault="009C0C7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B05062">
        <w:rPr>
          <w:lang w:val="sr-Cyrl-RS"/>
        </w:rPr>
        <w:t>(„Službeni glasnik RS“ broj 21/21)</w:t>
      </w:r>
    </w:p>
  </w:footnote>
  <w:footnote w:id="5">
    <w:p w14:paraId="14EFB21E" w14:textId="77777777" w:rsidR="009C0C7B" w:rsidRPr="001816B2" w:rsidRDefault="009C0C7B" w:rsidP="001816B2">
      <w:pPr>
        <w:jc w:val="both"/>
        <w:rPr>
          <w:rFonts w:eastAsia="Times New Roman" w:cstheme="minorHAnsi"/>
          <w:color w:val="212529"/>
          <w:kern w:val="0"/>
          <w:sz w:val="20"/>
          <w:szCs w:val="20"/>
          <w:lang w:eastAsia="sr-Latn-RS"/>
          <w14:ligatures w14:val="none"/>
        </w:rPr>
      </w:pPr>
      <w:r>
        <w:rPr>
          <w:rStyle w:val="FootnoteReference"/>
        </w:rPr>
        <w:footnoteRef/>
      </w:r>
      <w:r>
        <w:t xml:space="preserve"> </w:t>
      </w:r>
      <w:r w:rsidRPr="001816B2">
        <w:rPr>
          <w:rFonts w:eastAsia="Times New Roman" w:cstheme="minorHAnsi"/>
          <w:color w:val="212529"/>
          <w:kern w:val="0"/>
          <w:sz w:val="20"/>
          <w:szCs w:val="20"/>
          <w:lang w:eastAsia="sr-Latn-RS"/>
          <w14:ligatures w14:val="none"/>
        </w:rPr>
        <w:t xml:space="preserve">Elektronska oprema i tehnički priklјučci potrebni za prijavlјivanje i učešće privrednih subjekata u SDN jesu minimalni tehnički uslovi za korišćenje Portala, u skladu sa Uputstvom o korišćenju Portala javnih nabavki (,,Sl. glasnik RS“, broj 93/20 i 96/23). </w:t>
      </w:r>
    </w:p>
    <w:p w14:paraId="1D49AE17" w14:textId="0E4A6FDC" w:rsidR="009C0C7B" w:rsidRDefault="009C0C7B">
      <w:pPr>
        <w:pStyle w:val="FootnoteText"/>
      </w:pPr>
    </w:p>
  </w:footnote>
  <w:footnote w:id="6">
    <w:p w14:paraId="0BAC8741" w14:textId="4140C053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64. ZJN-a.</w:t>
      </w:r>
    </w:p>
  </w:footnote>
  <w:footnote w:id="7">
    <w:p w14:paraId="3D625D62" w14:textId="7D05FDDB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Mogućnost za sektorske naručioce, član 108. st. 6. i 7. ZJN-a.</w:t>
      </w:r>
    </w:p>
  </w:footnote>
  <w:footnote w:id="8">
    <w:p w14:paraId="7326596C" w14:textId="20F85517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68. stav 8. ZJN-a.</w:t>
      </w:r>
    </w:p>
  </w:footnote>
  <w:footnote w:id="9">
    <w:p w14:paraId="5BA5FB0A" w14:textId="79EACF0F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151. stav 2. tačka 2) ZJN-a.</w:t>
      </w:r>
    </w:p>
  </w:footnote>
  <w:footnote w:id="10">
    <w:p w14:paraId="479D8A65" w14:textId="3450EF6C" w:rsidR="009C0C7B" w:rsidRDefault="009C0C7B" w:rsidP="0059565B">
      <w:pPr>
        <w:pStyle w:val="FootnoteText"/>
      </w:pPr>
      <w:r>
        <w:rPr>
          <w:rStyle w:val="FootnoteReference"/>
        </w:rPr>
        <w:footnoteRef/>
      </w:r>
      <w:r>
        <w:t xml:space="preserve"> Član 71. stav 1. ZJN-a.</w:t>
      </w:r>
    </w:p>
  </w:footnote>
  <w:footnote w:id="11">
    <w:p w14:paraId="4EB10DD8" w14:textId="4183AFB1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74. stav 10. ZJN-a</w:t>
      </w:r>
    </w:p>
  </w:footnote>
  <w:footnote w:id="12">
    <w:p w14:paraId="5FD9F495" w14:textId="665E5430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31. ZJN-a.</w:t>
      </w:r>
    </w:p>
  </w:footnote>
  <w:footnote w:id="13">
    <w:p w14:paraId="77B75CCB" w14:textId="293B5C05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152. stav 7. ZJN-a.</w:t>
      </w:r>
    </w:p>
  </w:footnote>
  <w:footnote w:id="14">
    <w:p w14:paraId="5BB66BD0" w14:textId="5EBD130E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Na Portalu na početnoj strani dostupna su ,,Uputstva za primenu novog Portala javnih nabavki“ u okviru kojih su opisani koraci na Portalu za uspostavljanje i vođenje SDN-a i učešće u SDN-u. </w:t>
      </w:r>
    </w:p>
  </w:footnote>
  <w:footnote w:id="15">
    <w:p w14:paraId="08672CC0" w14:textId="6545F565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Prilog 4. Deo V ZJN-a. Podatak o vrenosti ili obimu učestalosti ugovora može se navesti u javnom pozivu u  delu ,,Dodatni podaci“.</w:t>
      </w:r>
    </w:p>
  </w:footnote>
  <w:footnote w:id="16">
    <w:p w14:paraId="6A463BDC" w14:textId="47E40BC4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105. stav 8. ZJN-a.</w:t>
      </w:r>
    </w:p>
  </w:footnote>
  <w:footnote w:id="17">
    <w:p w14:paraId="3F0871CE" w14:textId="40276893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68. stav 19. ZJN-a.</w:t>
      </w:r>
    </w:p>
  </w:footnote>
  <w:footnote w:id="18">
    <w:p w14:paraId="36AA832F" w14:textId="29D71F03" w:rsidR="009C0C7B" w:rsidRDefault="009C0C7B" w:rsidP="00DC12FC">
      <w:pPr>
        <w:pStyle w:val="FootnoteText"/>
      </w:pPr>
      <w:r>
        <w:rPr>
          <w:rStyle w:val="FootnoteReference"/>
        </w:rPr>
        <w:footnoteRef/>
      </w:r>
      <w:r>
        <w:t xml:space="preserve"> Obaveza ne postoji u slučaju da je procenjena vrednost jednaka ili niža od 5.000.000 dinara.</w:t>
      </w:r>
    </w:p>
  </w:footnote>
  <w:footnote w:id="19">
    <w:p w14:paraId="03212442" w14:textId="62344BAE" w:rsidR="005452E7" w:rsidRDefault="005452E7">
      <w:pPr>
        <w:pStyle w:val="FootnoteText"/>
      </w:pPr>
      <w:r>
        <w:rPr>
          <w:rStyle w:val="FootnoteReference"/>
        </w:rPr>
        <w:footnoteRef/>
      </w:r>
      <w:r>
        <w:t xml:space="preserve"> Član 68. stav 6 ZJN-a</w:t>
      </w:r>
    </w:p>
  </w:footnote>
  <w:footnote w:id="20">
    <w:p w14:paraId="1B0A0F7B" w14:textId="323408F5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68. stav 20 ZJN-a.</w:t>
      </w:r>
    </w:p>
  </w:footnote>
  <w:footnote w:id="21">
    <w:p w14:paraId="0B3D5A60" w14:textId="6FA04C06" w:rsidR="009C0C7B" w:rsidRDefault="009C0C7B" w:rsidP="0008228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584E">
        <w:t>Kandidat kojem nije priznata kvalifikacija, u ovom postupku nije definitivno izgubio šansu i ima priliku da sve dok traje SDN ponovo podnese prijavu</w:t>
      </w:r>
      <w:r>
        <w:t>.</w:t>
      </w:r>
    </w:p>
  </w:footnote>
  <w:footnote w:id="22">
    <w:p w14:paraId="50731565" w14:textId="52255410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Na Portalu na početnoj strani dostupna su ,,Uputstva za primenu novog Portala javnih nabavki“ u okviru kojih su opisani koraci na Portalu za uspostavljanje i vođenje SDN-a i učešće u SDN-u.</w:t>
      </w:r>
    </w:p>
  </w:footnote>
  <w:footnote w:id="23">
    <w:p w14:paraId="1DD0ACE9" w14:textId="22611DBC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65. stav 2. i 3. i Prilog 6 ZJN-a.</w:t>
      </w:r>
    </w:p>
  </w:footnote>
  <w:footnote w:id="24">
    <w:p w14:paraId="0EADAE4A" w14:textId="12A44382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Rok se ne može skraćivati u smislu člana 54. st. 5. i 7. ZJN-a.</w:t>
      </w:r>
    </w:p>
  </w:footnote>
  <w:footnote w:id="25">
    <w:p w14:paraId="0FBD9C52" w14:textId="42BE9BE2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68. stav 9. ZJN-a.</w:t>
      </w:r>
    </w:p>
  </w:footnote>
  <w:footnote w:id="26">
    <w:p w14:paraId="0276E448" w14:textId="256EF5C9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68. stav 19. ZJN-a.</w:t>
      </w:r>
    </w:p>
  </w:footnote>
  <w:footnote w:id="27">
    <w:p w14:paraId="79448A20" w14:textId="22D4F600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Odluka o obustavi postupka se odnosi na konkretnu drugu fazu i naručilac može u okviru SDN-a da ponovo poziva kvalifikovane kandidate da podnesu ponudu.</w:t>
      </w:r>
    </w:p>
  </w:footnote>
  <w:footnote w:id="28">
    <w:p w14:paraId="33C67791" w14:textId="210F2DA6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151. stav 2. tačka 2) ZJN-a.</w:t>
      </w:r>
    </w:p>
  </w:footnote>
  <w:footnote w:id="29">
    <w:p w14:paraId="7CA81365" w14:textId="38CCA88C" w:rsidR="009C0C7B" w:rsidRDefault="009C0C7B" w:rsidP="008A2AF8">
      <w:pPr>
        <w:pStyle w:val="FootnoteText"/>
      </w:pPr>
      <w:r>
        <w:rPr>
          <w:rStyle w:val="FootnoteReference"/>
        </w:rPr>
        <w:footnoteRef/>
      </w:r>
      <w:r>
        <w:t xml:space="preserve"> Član 233. stav. 1. tačka 5) ZJN-a.</w:t>
      </w:r>
    </w:p>
  </w:footnote>
  <w:footnote w:id="30">
    <w:p w14:paraId="5D6800B9" w14:textId="1E6ADB6D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152a ZJN-a.</w:t>
      </w:r>
    </w:p>
  </w:footnote>
  <w:footnote w:id="31">
    <w:p w14:paraId="158EFEAA" w14:textId="0470B2E7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109. stav 2. ZJN-a.</w:t>
      </w:r>
    </w:p>
  </w:footnote>
  <w:footnote w:id="32">
    <w:p w14:paraId="1252F48F" w14:textId="728BF446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152a ZJN-a.</w:t>
      </w:r>
    </w:p>
  </w:footnote>
  <w:footnote w:id="33">
    <w:p w14:paraId="4090EC67" w14:textId="7E270FA5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155. stav 2. ZJN-a.</w:t>
      </w:r>
    </w:p>
  </w:footnote>
  <w:footnote w:id="34">
    <w:p w14:paraId="74F86168" w14:textId="3B9034A3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Član 152. ZJN-a.</w:t>
      </w:r>
    </w:p>
  </w:footnote>
  <w:footnote w:id="35">
    <w:p w14:paraId="70BEB236" w14:textId="05CD0975" w:rsidR="009C0C7B" w:rsidRDefault="009C0C7B">
      <w:pPr>
        <w:pStyle w:val="FootnoteText"/>
      </w:pPr>
      <w:r>
        <w:rPr>
          <w:rStyle w:val="FootnoteReference"/>
        </w:rPr>
        <w:footnoteRef/>
      </w:r>
      <w:r>
        <w:t xml:space="preserve"> Naručilac navedene odluke dostavlja vodeći računa da ne otkriva informacije o ostalim kandidatima.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725E"/>
    <w:multiLevelType w:val="hybridMultilevel"/>
    <w:tmpl w:val="B7F48DDE"/>
    <w:lvl w:ilvl="0" w:tplc="0674EA4E">
      <w:numFmt w:val="bullet"/>
      <w:lvlText w:val="-"/>
      <w:lvlJc w:val="left"/>
      <w:pPr>
        <w:ind w:left="234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0BC076F5"/>
    <w:multiLevelType w:val="hybridMultilevel"/>
    <w:tmpl w:val="D33C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468D"/>
    <w:multiLevelType w:val="hybridMultilevel"/>
    <w:tmpl w:val="87E25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BD8"/>
    <w:multiLevelType w:val="hybridMultilevel"/>
    <w:tmpl w:val="BDAC1E60"/>
    <w:lvl w:ilvl="0" w:tplc="0674EA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03627"/>
    <w:multiLevelType w:val="hybridMultilevel"/>
    <w:tmpl w:val="843EB420"/>
    <w:lvl w:ilvl="0" w:tplc="0674EA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06B3D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FC2DEB"/>
    <w:multiLevelType w:val="hybridMultilevel"/>
    <w:tmpl w:val="AD58B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93B"/>
    <w:multiLevelType w:val="hybridMultilevel"/>
    <w:tmpl w:val="FAD8EF5E"/>
    <w:lvl w:ilvl="0" w:tplc="0674EA4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586687"/>
    <w:multiLevelType w:val="hybridMultilevel"/>
    <w:tmpl w:val="519E89DE"/>
    <w:lvl w:ilvl="0" w:tplc="0674EA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5695E"/>
    <w:multiLevelType w:val="hybridMultilevel"/>
    <w:tmpl w:val="AA18ECF2"/>
    <w:lvl w:ilvl="0" w:tplc="1DF6AE0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39327433"/>
    <w:multiLevelType w:val="hybridMultilevel"/>
    <w:tmpl w:val="1F12432C"/>
    <w:lvl w:ilvl="0" w:tplc="5B427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1333C"/>
    <w:multiLevelType w:val="hybridMultilevel"/>
    <w:tmpl w:val="4F2E0C4C"/>
    <w:lvl w:ilvl="0" w:tplc="83F613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C76AC"/>
    <w:multiLevelType w:val="hybridMultilevel"/>
    <w:tmpl w:val="4F76D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B0DEF"/>
    <w:multiLevelType w:val="hybridMultilevel"/>
    <w:tmpl w:val="62DCFBB0"/>
    <w:lvl w:ilvl="0" w:tplc="0674EA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C2D95"/>
    <w:multiLevelType w:val="multilevel"/>
    <w:tmpl w:val="C5A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A25B9D"/>
    <w:multiLevelType w:val="hybridMultilevel"/>
    <w:tmpl w:val="A6162024"/>
    <w:lvl w:ilvl="0" w:tplc="0674EA4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BA594D"/>
    <w:multiLevelType w:val="hybridMultilevel"/>
    <w:tmpl w:val="3A2AD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A2AC8"/>
    <w:multiLevelType w:val="hybridMultilevel"/>
    <w:tmpl w:val="098C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D1182"/>
    <w:multiLevelType w:val="hybridMultilevel"/>
    <w:tmpl w:val="96444BBA"/>
    <w:lvl w:ilvl="0" w:tplc="0674EA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95995"/>
    <w:multiLevelType w:val="hybridMultilevel"/>
    <w:tmpl w:val="E8AC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44146"/>
    <w:multiLevelType w:val="hybridMultilevel"/>
    <w:tmpl w:val="93A80836"/>
    <w:lvl w:ilvl="0" w:tplc="0674EA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B52C8"/>
    <w:multiLevelType w:val="hybridMultilevel"/>
    <w:tmpl w:val="378E89AE"/>
    <w:lvl w:ilvl="0" w:tplc="0674EA4E">
      <w:numFmt w:val="bullet"/>
      <w:lvlText w:val="-"/>
      <w:lvlJc w:val="left"/>
      <w:pPr>
        <w:ind w:left="7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DE61B4A"/>
    <w:multiLevelType w:val="multilevel"/>
    <w:tmpl w:val="5AA87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857193"/>
    <w:multiLevelType w:val="hybridMultilevel"/>
    <w:tmpl w:val="E7CE4DB2"/>
    <w:lvl w:ilvl="0" w:tplc="0674EA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70840"/>
    <w:multiLevelType w:val="hybridMultilevel"/>
    <w:tmpl w:val="3B684E8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66B86172"/>
    <w:multiLevelType w:val="hybridMultilevel"/>
    <w:tmpl w:val="2E46A2AE"/>
    <w:lvl w:ilvl="0" w:tplc="0674EA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E5DD9"/>
    <w:multiLevelType w:val="hybridMultilevel"/>
    <w:tmpl w:val="4C581A08"/>
    <w:lvl w:ilvl="0" w:tplc="1144D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E7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05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29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A2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A0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A1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8E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2B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7"/>
  </w:num>
  <w:num w:numId="5">
    <w:abstractNumId w:val="7"/>
  </w:num>
  <w:num w:numId="6">
    <w:abstractNumId w:val="19"/>
  </w:num>
  <w:num w:numId="7">
    <w:abstractNumId w:val="15"/>
  </w:num>
  <w:num w:numId="8">
    <w:abstractNumId w:val="8"/>
  </w:num>
  <w:num w:numId="9">
    <w:abstractNumId w:val="23"/>
  </w:num>
  <w:num w:numId="10">
    <w:abstractNumId w:val="18"/>
  </w:num>
  <w:num w:numId="11">
    <w:abstractNumId w:val="13"/>
  </w:num>
  <w:num w:numId="12">
    <w:abstractNumId w:val="0"/>
  </w:num>
  <w:num w:numId="13">
    <w:abstractNumId w:val="20"/>
  </w:num>
  <w:num w:numId="14">
    <w:abstractNumId w:val="21"/>
  </w:num>
  <w:num w:numId="15">
    <w:abstractNumId w:val="3"/>
  </w:num>
  <w:num w:numId="16">
    <w:abstractNumId w:val="25"/>
  </w:num>
  <w:num w:numId="17">
    <w:abstractNumId w:val="4"/>
  </w:num>
  <w:num w:numId="18">
    <w:abstractNumId w:val="16"/>
  </w:num>
  <w:num w:numId="19">
    <w:abstractNumId w:val="2"/>
  </w:num>
  <w:num w:numId="20">
    <w:abstractNumId w:val="1"/>
  </w:num>
  <w:num w:numId="21">
    <w:abstractNumId w:val="10"/>
  </w:num>
  <w:num w:numId="22">
    <w:abstractNumId w:val="24"/>
  </w:num>
  <w:num w:numId="23">
    <w:abstractNumId w:val="26"/>
  </w:num>
  <w:num w:numId="24">
    <w:abstractNumId w:val="9"/>
  </w:num>
  <w:num w:numId="25">
    <w:abstractNumId w:val="11"/>
  </w:num>
  <w:num w:numId="26">
    <w:abstractNumId w:val="14"/>
  </w:num>
  <w:num w:numId="27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B3"/>
    <w:rsid w:val="00000E21"/>
    <w:rsid w:val="000027ED"/>
    <w:rsid w:val="00002B8D"/>
    <w:rsid w:val="00004A3D"/>
    <w:rsid w:val="00004A5E"/>
    <w:rsid w:val="00010C0E"/>
    <w:rsid w:val="00011164"/>
    <w:rsid w:val="0001166D"/>
    <w:rsid w:val="000143E9"/>
    <w:rsid w:val="0001634F"/>
    <w:rsid w:val="00017969"/>
    <w:rsid w:val="0002024E"/>
    <w:rsid w:val="00020C15"/>
    <w:rsid w:val="000309EF"/>
    <w:rsid w:val="0003387A"/>
    <w:rsid w:val="0004334F"/>
    <w:rsid w:val="000438BB"/>
    <w:rsid w:val="000454E4"/>
    <w:rsid w:val="0004644B"/>
    <w:rsid w:val="00050DF2"/>
    <w:rsid w:val="00056C0C"/>
    <w:rsid w:val="00065FE0"/>
    <w:rsid w:val="0007499C"/>
    <w:rsid w:val="00077CC0"/>
    <w:rsid w:val="000808D0"/>
    <w:rsid w:val="00082288"/>
    <w:rsid w:val="000845A9"/>
    <w:rsid w:val="000850D2"/>
    <w:rsid w:val="00091A42"/>
    <w:rsid w:val="00092F9F"/>
    <w:rsid w:val="00093044"/>
    <w:rsid w:val="00093FC8"/>
    <w:rsid w:val="00095948"/>
    <w:rsid w:val="000A1638"/>
    <w:rsid w:val="000A5685"/>
    <w:rsid w:val="000B4E7D"/>
    <w:rsid w:val="000B56A7"/>
    <w:rsid w:val="000C2643"/>
    <w:rsid w:val="000D04FF"/>
    <w:rsid w:val="000D3985"/>
    <w:rsid w:val="000D5C6F"/>
    <w:rsid w:val="000E2744"/>
    <w:rsid w:val="000F117A"/>
    <w:rsid w:val="000F167A"/>
    <w:rsid w:val="000F34C0"/>
    <w:rsid w:val="000F7A6F"/>
    <w:rsid w:val="0010128D"/>
    <w:rsid w:val="00102718"/>
    <w:rsid w:val="00104851"/>
    <w:rsid w:val="00104B03"/>
    <w:rsid w:val="00104EE7"/>
    <w:rsid w:val="00105A12"/>
    <w:rsid w:val="00106F55"/>
    <w:rsid w:val="00107786"/>
    <w:rsid w:val="00112CDF"/>
    <w:rsid w:val="001136F5"/>
    <w:rsid w:val="00113DA4"/>
    <w:rsid w:val="00114254"/>
    <w:rsid w:val="00115636"/>
    <w:rsid w:val="00115D75"/>
    <w:rsid w:val="00120E12"/>
    <w:rsid w:val="001223CE"/>
    <w:rsid w:val="001224B4"/>
    <w:rsid w:val="0013036A"/>
    <w:rsid w:val="00130FF4"/>
    <w:rsid w:val="00131031"/>
    <w:rsid w:val="00137A64"/>
    <w:rsid w:val="00150D08"/>
    <w:rsid w:val="001575AC"/>
    <w:rsid w:val="00161751"/>
    <w:rsid w:val="00163C97"/>
    <w:rsid w:val="001667D7"/>
    <w:rsid w:val="00175565"/>
    <w:rsid w:val="001778E9"/>
    <w:rsid w:val="001809AF"/>
    <w:rsid w:val="001816B2"/>
    <w:rsid w:val="00186AFC"/>
    <w:rsid w:val="00190DA5"/>
    <w:rsid w:val="00194FC5"/>
    <w:rsid w:val="00196054"/>
    <w:rsid w:val="001A1B84"/>
    <w:rsid w:val="001A1F15"/>
    <w:rsid w:val="001A23E7"/>
    <w:rsid w:val="001A4A27"/>
    <w:rsid w:val="001B0941"/>
    <w:rsid w:val="001B1475"/>
    <w:rsid w:val="001B5B3F"/>
    <w:rsid w:val="001B5EB7"/>
    <w:rsid w:val="001B7FDA"/>
    <w:rsid w:val="001C0D73"/>
    <w:rsid w:val="001C2861"/>
    <w:rsid w:val="001C35AF"/>
    <w:rsid w:val="001C3910"/>
    <w:rsid w:val="001C5DEE"/>
    <w:rsid w:val="001C643D"/>
    <w:rsid w:val="001C6F6B"/>
    <w:rsid w:val="001C7468"/>
    <w:rsid w:val="001C75B2"/>
    <w:rsid w:val="001D5922"/>
    <w:rsid w:val="001D66A1"/>
    <w:rsid w:val="001F0164"/>
    <w:rsid w:val="001F31C6"/>
    <w:rsid w:val="001F3D62"/>
    <w:rsid w:val="001F7199"/>
    <w:rsid w:val="00200497"/>
    <w:rsid w:val="00202F2C"/>
    <w:rsid w:val="0020304C"/>
    <w:rsid w:val="002043D8"/>
    <w:rsid w:val="00207F36"/>
    <w:rsid w:val="00213990"/>
    <w:rsid w:val="00217204"/>
    <w:rsid w:val="00221D4A"/>
    <w:rsid w:val="00222EAD"/>
    <w:rsid w:val="00223441"/>
    <w:rsid w:val="00224297"/>
    <w:rsid w:val="00224A45"/>
    <w:rsid w:val="00224F24"/>
    <w:rsid w:val="00230D55"/>
    <w:rsid w:val="00235851"/>
    <w:rsid w:val="002424CC"/>
    <w:rsid w:val="002456AD"/>
    <w:rsid w:val="0024574F"/>
    <w:rsid w:val="00251E85"/>
    <w:rsid w:val="00253B8D"/>
    <w:rsid w:val="0025404B"/>
    <w:rsid w:val="002540F9"/>
    <w:rsid w:val="002541D7"/>
    <w:rsid w:val="00255443"/>
    <w:rsid w:val="00255886"/>
    <w:rsid w:val="00257918"/>
    <w:rsid w:val="00257F52"/>
    <w:rsid w:val="0026046E"/>
    <w:rsid w:val="00260893"/>
    <w:rsid w:val="00260945"/>
    <w:rsid w:val="00263F43"/>
    <w:rsid w:val="00264692"/>
    <w:rsid w:val="00265B41"/>
    <w:rsid w:val="00265FBB"/>
    <w:rsid w:val="00271BB1"/>
    <w:rsid w:val="00275CB6"/>
    <w:rsid w:val="00276093"/>
    <w:rsid w:val="0027792F"/>
    <w:rsid w:val="0028026E"/>
    <w:rsid w:val="00280BDA"/>
    <w:rsid w:val="0028269A"/>
    <w:rsid w:val="0029285F"/>
    <w:rsid w:val="00292E47"/>
    <w:rsid w:val="00295A3D"/>
    <w:rsid w:val="002A50DE"/>
    <w:rsid w:val="002B263E"/>
    <w:rsid w:val="002B4E8E"/>
    <w:rsid w:val="002B67E9"/>
    <w:rsid w:val="002B79C7"/>
    <w:rsid w:val="002C50CD"/>
    <w:rsid w:val="002C541C"/>
    <w:rsid w:val="002D2100"/>
    <w:rsid w:val="002D2EA7"/>
    <w:rsid w:val="002D496A"/>
    <w:rsid w:val="002D6958"/>
    <w:rsid w:val="002E1017"/>
    <w:rsid w:val="002E7CC1"/>
    <w:rsid w:val="002F48B9"/>
    <w:rsid w:val="002F513A"/>
    <w:rsid w:val="002F546E"/>
    <w:rsid w:val="002F580A"/>
    <w:rsid w:val="002F62E5"/>
    <w:rsid w:val="002F6E67"/>
    <w:rsid w:val="0030231E"/>
    <w:rsid w:val="00302FA6"/>
    <w:rsid w:val="00304913"/>
    <w:rsid w:val="00306DDB"/>
    <w:rsid w:val="00310BA3"/>
    <w:rsid w:val="003118EE"/>
    <w:rsid w:val="00312444"/>
    <w:rsid w:val="00317D1B"/>
    <w:rsid w:val="003216EE"/>
    <w:rsid w:val="00321E35"/>
    <w:rsid w:val="00324E9D"/>
    <w:rsid w:val="00330B80"/>
    <w:rsid w:val="003344F6"/>
    <w:rsid w:val="00334DA3"/>
    <w:rsid w:val="0033584E"/>
    <w:rsid w:val="00335A89"/>
    <w:rsid w:val="00336ED5"/>
    <w:rsid w:val="0034023A"/>
    <w:rsid w:val="00341DD3"/>
    <w:rsid w:val="003505EB"/>
    <w:rsid w:val="00350C5D"/>
    <w:rsid w:val="00350FD2"/>
    <w:rsid w:val="00356B2C"/>
    <w:rsid w:val="00362617"/>
    <w:rsid w:val="003651F4"/>
    <w:rsid w:val="003651F6"/>
    <w:rsid w:val="0036712C"/>
    <w:rsid w:val="00367CF6"/>
    <w:rsid w:val="003737E0"/>
    <w:rsid w:val="00376AD8"/>
    <w:rsid w:val="003815FE"/>
    <w:rsid w:val="00384CE6"/>
    <w:rsid w:val="00385538"/>
    <w:rsid w:val="00386C0F"/>
    <w:rsid w:val="00390B95"/>
    <w:rsid w:val="00392E23"/>
    <w:rsid w:val="003A3588"/>
    <w:rsid w:val="003A423A"/>
    <w:rsid w:val="003A5139"/>
    <w:rsid w:val="003A5608"/>
    <w:rsid w:val="003B11EB"/>
    <w:rsid w:val="003B30D3"/>
    <w:rsid w:val="003B355C"/>
    <w:rsid w:val="003B4D8C"/>
    <w:rsid w:val="003C152D"/>
    <w:rsid w:val="003C1C04"/>
    <w:rsid w:val="003C36E1"/>
    <w:rsid w:val="003C70B2"/>
    <w:rsid w:val="003D0D19"/>
    <w:rsid w:val="003D1184"/>
    <w:rsid w:val="003D2AC2"/>
    <w:rsid w:val="003D5693"/>
    <w:rsid w:val="003D625E"/>
    <w:rsid w:val="003E17A1"/>
    <w:rsid w:val="003E18F6"/>
    <w:rsid w:val="003E1C12"/>
    <w:rsid w:val="003E279B"/>
    <w:rsid w:val="003E2A9A"/>
    <w:rsid w:val="003E3839"/>
    <w:rsid w:val="003E602E"/>
    <w:rsid w:val="003E7B69"/>
    <w:rsid w:val="003F7F18"/>
    <w:rsid w:val="004035EF"/>
    <w:rsid w:val="004041B3"/>
    <w:rsid w:val="00407BCA"/>
    <w:rsid w:val="004141E1"/>
    <w:rsid w:val="00415315"/>
    <w:rsid w:val="0041557D"/>
    <w:rsid w:val="004170B8"/>
    <w:rsid w:val="00424504"/>
    <w:rsid w:val="00432119"/>
    <w:rsid w:val="00433170"/>
    <w:rsid w:val="00435ECF"/>
    <w:rsid w:val="004378F3"/>
    <w:rsid w:val="00437A97"/>
    <w:rsid w:val="00441385"/>
    <w:rsid w:val="00441896"/>
    <w:rsid w:val="00447970"/>
    <w:rsid w:val="00447CE9"/>
    <w:rsid w:val="00452320"/>
    <w:rsid w:val="00455A26"/>
    <w:rsid w:val="0045744C"/>
    <w:rsid w:val="00461984"/>
    <w:rsid w:val="00462533"/>
    <w:rsid w:val="004630BD"/>
    <w:rsid w:val="00463595"/>
    <w:rsid w:val="00464CFF"/>
    <w:rsid w:val="00465CD2"/>
    <w:rsid w:val="00465DF6"/>
    <w:rsid w:val="0046794C"/>
    <w:rsid w:val="004714AD"/>
    <w:rsid w:val="004717F3"/>
    <w:rsid w:val="00472ADD"/>
    <w:rsid w:val="00473B41"/>
    <w:rsid w:val="004746B8"/>
    <w:rsid w:val="00474775"/>
    <w:rsid w:val="00480E5E"/>
    <w:rsid w:val="004810C7"/>
    <w:rsid w:val="004843FC"/>
    <w:rsid w:val="004845A0"/>
    <w:rsid w:val="00487D9E"/>
    <w:rsid w:val="00491BA6"/>
    <w:rsid w:val="00493E9B"/>
    <w:rsid w:val="004964AB"/>
    <w:rsid w:val="004A5814"/>
    <w:rsid w:val="004A6E15"/>
    <w:rsid w:val="004B09E0"/>
    <w:rsid w:val="004B119B"/>
    <w:rsid w:val="004B2415"/>
    <w:rsid w:val="004B457E"/>
    <w:rsid w:val="004B4788"/>
    <w:rsid w:val="004B4ACD"/>
    <w:rsid w:val="004B5B8A"/>
    <w:rsid w:val="004C6BA4"/>
    <w:rsid w:val="004D19BF"/>
    <w:rsid w:val="004D2CBA"/>
    <w:rsid w:val="004D750C"/>
    <w:rsid w:val="004E4330"/>
    <w:rsid w:val="004E4BCB"/>
    <w:rsid w:val="004F1095"/>
    <w:rsid w:val="004F158E"/>
    <w:rsid w:val="004F4E00"/>
    <w:rsid w:val="004F7354"/>
    <w:rsid w:val="00503662"/>
    <w:rsid w:val="005132A7"/>
    <w:rsid w:val="00516455"/>
    <w:rsid w:val="005200C4"/>
    <w:rsid w:val="00521586"/>
    <w:rsid w:val="005218BD"/>
    <w:rsid w:val="0053085C"/>
    <w:rsid w:val="005333FF"/>
    <w:rsid w:val="00534F6F"/>
    <w:rsid w:val="005404D3"/>
    <w:rsid w:val="005452E7"/>
    <w:rsid w:val="0054767B"/>
    <w:rsid w:val="0055036F"/>
    <w:rsid w:val="00551CB7"/>
    <w:rsid w:val="00551F44"/>
    <w:rsid w:val="0055356E"/>
    <w:rsid w:val="0055404B"/>
    <w:rsid w:val="005554CF"/>
    <w:rsid w:val="005560D5"/>
    <w:rsid w:val="0056154A"/>
    <w:rsid w:val="00563DDC"/>
    <w:rsid w:val="0056452D"/>
    <w:rsid w:val="005649D0"/>
    <w:rsid w:val="00570352"/>
    <w:rsid w:val="00570BDE"/>
    <w:rsid w:val="00575881"/>
    <w:rsid w:val="00575B01"/>
    <w:rsid w:val="00577507"/>
    <w:rsid w:val="005835CE"/>
    <w:rsid w:val="005858A4"/>
    <w:rsid w:val="00591173"/>
    <w:rsid w:val="0059127D"/>
    <w:rsid w:val="00594DE3"/>
    <w:rsid w:val="0059565B"/>
    <w:rsid w:val="005A2E0E"/>
    <w:rsid w:val="005A6CAB"/>
    <w:rsid w:val="005A6F88"/>
    <w:rsid w:val="005A7C5D"/>
    <w:rsid w:val="005B0115"/>
    <w:rsid w:val="005B0FC5"/>
    <w:rsid w:val="005C3BA6"/>
    <w:rsid w:val="005C448F"/>
    <w:rsid w:val="005D4B9E"/>
    <w:rsid w:val="005E03F1"/>
    <w:rsid w:val="005E0510"/>
    <w:rsid w:val="005E068C"/>
    <w:rsid w:val="005E2757"/>
    <w:rsid w:val="005E2881"/>
    <w:rsid w:val="005E4AEC"/>
    <w:rsid w:val="005E54CB"/>
    <w:rsid w:val="005E67E2"/>
    <w:rsid w:val="005F09E0"/>
    <w:rsid w:val="005F1AED"/>
    <w:rsid w:val="005F1B69"/>
    <w:rsid w:val="005F2684"/>
    <w:rsid w:val="005F3A67"/>
    <w:rsid w:val="005F5834"/>
    <w:rsid w:val="00600429"/>
    <w:rsid w:val="006010C9"/>
    <w:rsid w:val="00601686"/>
    <w:rsid w:val="00602326"/>
    <w:rsid w:val="00610449"/>
    <w:rsid w:val="0061365C"/>
    <w:rsid w:val="006150C4"/>
    <w:rsid w:val="00615401"/>
    <w:rsid w:val="0061569F"/>
    <w:rsid w:val="00616B8E"/>
    <w:rsid w:val="006218ED"/>
    <w:rsid w:val="00626355"/>
    <w:rsid w:val="00626CDA"/>
    <w:rsid w:val="006306F8"/>
    <w:rsid w:val="00632F3F"/>
    <w:rsid w:val="00633478"/>
    <w:rsid w:val="006375F6"/>
    <w:rsid w:val="0064081A"/>
    <w:rsid w:val="0064245E"/>
    <w:rsid w:val="00647595"/>
    <w:rsid w:val="00647E98"/>
    <w:rsid w:val="0065307D"/>
    <w:rsid w:val="00653123"/>
    <w:rsid w:val="006544CA"/>
    <w:rsid w:val="00657686"/>
    <w:rsid w:val="00666E57"/>
    <w:rsid w:val="006679D8"/>
    <w:rsid w:val="00670741"/>
    <w:rsid w:val="00670867"/>
    <w:rsid w:val="00674DA1"/>
    <w:rsid w:val="00676F6B"/>
    <w:rsid w:val="0067701E"/>
    <w:rsid w:val="006778DF"/>
    <w:rsid w:val="00685980"/>
    <w:rsid w:val="00685EAF"/>
    <w:rsid w:val="00687B09"/>
    <w:rsid w:val="0069040E"/>
    <w:rsid w:val="00691FAC"/>
    <w:rsid w:val="006936A2"/>
    <w:rsid w:val="00693827"/>
    <w:rsid w:val="00695BE9"/>
    <w:rsid w:val="006A663A"/>
    <w:rsid w:val="006B4080"/>
    <w:rsid w:val="006C3ABC"/>
    <w:rsid w:val="006C4544"/>
    <w:rsid w:val="006C4FEE"/>
    <w:rsid w:val="006D7A31"/>
    <w:rsid w:val="006E0176"/>
    <w:rsid w:val="006E16B3"/>
    <w:rsid w:val="006F303B"/>
    <w:rsid w:val="006F46B1"/>
    <w:rsid w:val="006F49DC"/>
    <w:rsid w:val="006F4D36"/>
    <w:rsid w:val="006F61E1"/>
    <w:rsid w:val="007031FE"/>
    <w:rsid w:val="0070447B"/>
    <w:rsid w:val="00706606"/>
    <w:rsid w:val="00712DC6"/>
    <w:rsid w:val="00714A51"/>
    <w:rsid w:val="007209FF"/>
    <w:rsid w:val="00721AD2"/>
    <w:rsid w:val="00722D14"/>
    <w:rsid w:val="00724F11"/>
    <w:rsid w:val="007305D1"/>
    <w:rsid w:val="00730A79"/>
    <w:rsid w:val="007312AC"/>
    <w:rsid w:val="0073266C"/>
    <w:rsid w:val="00734417"/>
    <w:rsid w:val="00734518"/>
    <w:rsid w:val="0074008C"/>
    <w:rsid w:val="00740F92"/>
    <w:rsid w:val="0074189C"/>
    <w:rsid w:val="0074256C"/>
    <w:rsid w:val="00745CAE"/>
    <w:rsid w:val="00752169"/>
    <w:rsid w:val="00752CAC"/>
    <w:rsid w:val="007538B6"/>
    <w:rsid w:val="00753D0F"/>
    <w:rsid w:val="00755000"/>
    <w:rsid w:val="00755D07"/>
    <w:rsid w:val="007621D7"/>
    <w:rsid w:val="00766712"/>
    <w:rsid w:val="00766780"/>
    <w:rsid w:val="00767744"/>
    <w:rsid w:val="00767E8A"/>
    <w:rsid w:val="00770CD0"/>
    <w:rsid w:val="00777387"/>
    <w:rsid w:val="00782116"/>
    <w:rsid w:val="00787641"/>
    <w:rsid w:val="007938EA"/>
    <w:rsid w:val="00793D90"/>
    <w:rsid w:val="0079686F"/>
    <w:rsid w:val="00797658"/>
    <w:rsid w:val="007A53E9"/>
    <w:rsid w:val="007B3DBB"/>
    <w:rsid w:val="007B5E68"/>
    <w:rsid w:val="007B7DD0"/>
    <w:rsid w:val="007C10C4"/>
    <w:rsid w:val="007C3F84"/>
    <w:rsid w:val="007C4F94"/>
    <w:rsid w:val="007C5735"/>
    <w:rsid w:val="007E45E1"/>
    <w:rsid w:val="007E6743"/>
    <w:rsid w:val="007E7149"/>
    <w:rsid w:val="007E72A2"/>
    <w:rsid w:val="007E7F52"/>
    <w:rsid w:val="007F3910"/>
    <w:rsid w:val="007F47A3"/>
    <w:rsid w:val="008008D8"/>
    <w:rsid w:val="00803BC7"/>
    <w:rsid w:val="00807F3B"/>
    <w:rsid w:val="00810017"/>
    <w:rsid w:val="0081302A"/>
    <w:rsid w:val="00813A85"/>
    <w:rsid w:val="0081499E"/>
    <w:rsid w:val="00816A10"/>
    <w:rsid w:val="008175ED"/>
    <w:rsid w:val="00821CAD"/>
    <w:rsid w:val="00831B51"/>
    <w:rsid w:val="00831ED2"/>
    <w:rsid w:val="00831FAF"/>
    <w:rsid w:val="00833572"/>
    <w:rsid w:val="00836C32"/>
    <w:rsid w:val="00837E61"/>
    <w:rsid w:val="008423EE"/>
    <w:rsid w:val="00842AC2"/>
    <w:rsid w:val="00844C07"/>
    <w:rsid w:val="00850B4A"/>
    <w:rsid w:val="00854354"/>
    <w:rsid w:val="00855CFF"/>
    <w:rsid w:val="00860656"/>
    <w:rsid w:val="00862643"/>
    <w:rsid w:val="00865CB0"/>
    <w:rsid w:val="00871595"/>
    <w:rsid w:val="00877B4D"/>
    <w:rsid w:val="008810D0"/>
    <w:rsid w:val="00887CB1"/>
    <w:rsid w:val="00891390"/>
    <w:rsid w:val="008A2AF8"/>
    <w:rsid w:val="008A4181"/>
    <w:rsid w:val="008A765A"/>
    <w:rsid w:val="008B2A27"/>
    <w:rsid w:val="008B2ADD"/>
    <w:rsid w:val="008B442D"/>
    <w:rsid w:val="008B4B4B"/>
    <w:rsid w:val="008B5D44"/>
    <w:rsid w:val="008B7B3C"/>
    <w:rsid w:val="008C1562"/>
    <w:rsid w:val="008C1F78"/>
    <w:rsid w:val="008C2AD0"/>
    <w:rsid w:val="008D4D47"/>
    <w:rsid w:val="008E16D3"/>
    <w:rsid w:val="008E3691"/>
    <w:rsid w:val="008F0A39"/>
    <w:rsid w:val="008F119C"/>
    <w:rsid w:val="008F2115"/>
    <w:rsid w:val="008F2D88"/>
    <w:rsid w:val="008F3C82"/>
    <w:rsid w:val="008F5915"/>
    <w:rsid w:val="009001BC"/>
    <w:rsid w:val="00902E94"/>
    <w:rsid w:val="00905D20"/>
    <w:rsid w:val="00910FC1"/>
    <w:rsid w:val="00912F15"/>
    <w:rsid w:val="00922790"/>
    <w:rsid w:val="009260F7"/>
    <w:rsid w:val="009262BB"/>
    <w:rsid w:val="00926FF7"/>
    <w:rsid w:val="00930448"/>
    <w:rsid w:val="00930B58"/>
    <w:rsid w:val="00932E99"/>
    <w:rsid w:val="00934460"/>
    <w:rsid w:val="00935DA7"/>
    <w:rsid w:val="0094213A"/>
    <w:rsid w:val="00942185"/>
    <w:rsid w:val="0094271D"/>
    <w:rsid w:val="00943381"/>
    <w:rsid w:val="0095111C"/>
    <w:rsid w:val="00953F91"/>
    <w:rsid w:val="009561E4"/>
    <w:rsid w:val="00956AB6"/>
    <w:rsid w:val="009578D8"/>
    <w:rsid w:val="0096042F"/>
    <w:rsid w:val="00961EAF"/>
    <w:rsid w:val="0096371F"/>
    <w:rsid w:val="00964CB4"/>
    <w:rsid w:val="0097092A"/>
    <w:rsid w:val="00973548"/>
    <w:rsid w:val="009741AF"/>
    <w:rsid w:val="00975563"/>
    <w:rsid w:val="009767FC"/>
    <w:rsid w:val="00981F5A"/>
    <w:rsid w:val="00983B89"/>
    <w:rsid w:val="00992460"/>
    <w:rsid w:val="009933DA"/>
    <w:rsid w:val="00996056"/>
    <w:rsid w:val="009A054E"/>
    <w:rsid w:val="009A07D1"/>
    <w:rsid w:val="009A0952"/>
    <w:rsid w:val="009A1F8D"/>
    <w:rsid w:val="009A233F"/>
    <w:rsid w:val="009A69E2"/>
    <w:rsid w:val="009B17A8"/>
    <w:rsid w:val="009B445F"/>
    <w:rsid w:val="009B5EBE"/>
    <w:rsid w:val="009B677F"/>
    <w:rsid w:val="009C0C7B"/>
    <w:rsid w:val="009C1B62"/>
    <w:rsid w:val="009C1BBA"/>
    <w:rsid w:val="009C4208"/>
    <w:rsid w:val="009C5A41"/>
    <w:rsid w:val="009D0C0E"/>
    <w:rsid w:val="009D1677"/>
    <w:rsid w:val="009D1E62"/>
    <w:rsid w:val="009D29F3"/>
    <w:rsid w:val="009D7433"/>
    <w:rsid w:val="009D773F"/>
    <w:rsid w:val="009D7A0F"/>
    <w:rsid w:val="009E264E"/>
    <w:rsid w:val="009E3CA4"/>
    <w:rsid w:val="009E6230"/>
    <w:rsid w:val="009E642A"/>
    <w:rsid w:val="00A04394"/>
    <w:rsid w:val="00A124C7"/>
    <w:rsid w:val="00A15472"/>
    <w:rsid w:val="00A1577B"/>
    <w:rsid w:val="00A161F7"/>
    <w:rsid w:val="00A226AA"/>
    <w:rsid w:val="00A2310F"/>
    <w:rsid w:val="00A25E4B"/>
    <w:rsid w:val="00A26269"/>
    <w:rsid w:val="00A26B5B"/>
    <w:rsid w:val="00A32F9E"/>
    <w:rsid w:val="00A33285"/>
    <w:rsid w:val="00A3573C"/>
    <w:rsid w:val="00A368E8"/>
    <w:rsid w:val="00A37833"/>
    <w:rsid w:val="00A4086A"/>
    <w:rsid w:val="00A41743"/>
    <w:rsid w:val="00A45D78"/>
    <w:rsid w:val="00A50BA4"/>
    <w:rsid w:val="00A5119C"/>
    <w:rsid w:val="00A52E2C"/>
    <w:rsid w:val="00A56B13"/>
    <w:rsid w:val="00A630A0"/>
    <w:rsid w:val="00A65903"/>
    <w:rsid w:val="00A65D13"/>
    <w:rsid w:val="00A66FA5"/>
    <w:rsid w:val="00A73CAA"/>
    <w:rsid w:val="00A73F66"/>
    <w:rsid w:val="00A74201"/>
    <w:rsid w:val="00A747EA"/>
    <w:rsid w:val="00A762C2"/>
    <w:rsid w:val="00A77AFC"/>
    <w:rsid w:val="00A80560"/>
    <w:rsid w:val="00A82F03"/>
    <w:rsid w:val="00A85546"/>
    <w:rsid w:val="00A855D8"/>
    <w:rsid w:val="00A864EA"/>
    <w:rsid w:val="00A91363"/>
    <w:rsid w:val="00A94673"/>
    <w:rsid w:val="00A96A9B"/>
    <w:rsid w:val="00A97B45"/>
    <w:rsid w:val="00AA0DE6"/>
    <w:rsid w:val="00AA270E"/>
    <w:rsid w:val="00AA3D84"/>
    <w:rsid w:val="00AA59A3"/>
    <w:rsid w:val="00AB0DFF"/>
    <w:rsid w:val="00AB177B"/>
    <w:rsid w:val="00AB17DB"/>
    <w:rsid w:val="00AB1B08"/>
    <w:rsid w:val="00AB1CA9"/>
    <w:rsid w:val="00AB4AE9"/>
    <w:rsid w:val="00AC1AAA"/>
    <w:rsid w:val="00AC34F6"/>
    <w:rsid w:val="00AC3ED3"/>
    <w:rsid w:val="00AC3F1E"/>
    <w:rsid w:val="00AD31D0"/>
    <w:rsid w:val="00AD3C56"/>
    <w:rsid w:val="00AD4861"/>
    <w:rsid w:val="00AE122C"/>
    <w:rsid w:val="00AE31E5"/>
    <w:rsid w:val="00AE7330"/>
    <w:rsid w:val="00AF48CF"/>
    <w:rsid w:val="00B01862"/>
    <w:rsid w:val="00B01B44"/>
    <w:rsid w:val="00B05062"/>
    <w:rsid w:val="00B05D21"/>
    <w:rsid w:val="00B1435E"/>
    <w:rsid w:val="00B14D66"/>
    <w:rsid w:val="00B1582C"/>
    <w:rsid w:val="00B2660D"/>
    <w:rsid w:val="00B31C9F"/>
    <w:rsid w:val="00B363ED"/>
    <w:rsid w:val="00B37D01"/>
    <w:rsid w:val="00B42B5B"/>
    <w:rsid w:val="00B42F10"/>
    <w:rsid w:val="00B461D3"/>
    <w:rsid w:val="00B54284"/>
    <w:rsid w:val="00B57863"/>
    <w:rsid w:val="00B61921"/>
    <w:rsid w:val="00B62956"/>
    <w:rsid w:val="00B62A7E"/>
    <w:rsid w:val="00B63728"/>
    <w:rsid w:val="00B64B9C"/>
    <w:rsid w:val="00B65C76"/>
    <w:rsid w:val="00B7087D"/>
    <w:rsid w:val="00B735DC"/>
    <w:rsid w:val="00B76082"/>
    <w:rsid w:val="00B80170"/>
    <w:rsid w:val="00B8093A"/>
    <w:rsid w:val="00B82E7F"/>
    <w:rsid w:val="00B86EA6"/>
    <w:rsid w:val="00B87682"/>
    <w:rsid w:val="00B914A9"/>
    <w:rsid w:val="00BA216C"/>
    <w:rsid w:val="00BA376C"/>
    <w:rsid w:val="00BB0B53"/>
    <w:rsid w:val="00BB1D7B"/>
    <w:rsid w:val="00BC069C"/>
    <w:rsid w:val="00BC0CA5"/>
    <w:rsid w:val="00BC441B"/>
    <w:rsid w:val="00BC5F25"/>
    <w:rsid w:val="00BD0255"/>
    <w:rsid w:val="00BD032F"/>
    <w:rsid w:val="00BD0AE4"/>
    <w:rsid w:val="00BD2CB4"/>
    <w:rsid w:val="00BD3586"/>
    <w:rsid w:val="00BD60DD"/>
    <w:rsid w:val="00BD7963"/>
    <w:rsid w:val="00BE1C19"/>
    <w:rsid w:val="00BF4367"/>
    <w:rsid w:val="00BF612E"/>
    <w:rsid w:val="00BF61A1"/>
    <w:rsid w:val="00BF78D7"/>
    <w:rsid w:val="00C02945"/>
    <w:rsid w:val="00C038F9"/>
    <w:rsid w:val="00C04A3A"/>
    <w:rsid w:val="00C0617F"/>
    <w:rsid w:val="00C0788A"/>
    <w:rsid w:val="00C111C4"/>
    <w:rsid w:val="00C12ED0"/>
    <w:rsid w:val="00C1645D"/>
    <w:rsid w:val="00C16EF7"/>
    <w:rsid w:val="00C21858"/>
    <w:rsid w:val="00C23699"/>
    <w:rsid w:val="00C24079"/>
    <w:rsid w:val="00C242DB"/>
    <w:rsid w:val="00C24425"/>
    <w:rsid w:val="00C2477D"/>
    <w:rsid w:val="00C26E5A"/>
    <w:rsid w:val="00C3044C"/>
    <w:rsid w:val="00C357D9"/>
    <w:rsid w:val="00C35FD0"/>
    <w:rsid w:val="00C4124D"/>
    <w:rsid w:val="00C469F4"/>
    <w:rsid w:val="00C535B8"/>
    <w:rsid w:val="00C54855"/>
    <w:rsid w:val="00C5673A"/>
    <w:rsid w:val="00C57E98"/>
    <w:rsid w:val="00C6091F"/>
    <w:rsid w:val="00C74868"/>
    <w:rsid w:val="00C74A4B"/>
    <w:rsid w:val="00C75583"/>
    <w:rsid w:val="00C77ADF"/>
    <w:rsid w:val="00C77EA1"/>
    <w:rsid w:val="00C81F24"/>
    <w:rsid w:val="00C83166"/>
    <w:rsid w:val="00C8427E"/>
    <w:rsid w:val="00C85791"/>
    <w:rsid w:val="00C866B6"/>
    <w:rsid w:val="00C91359"/>
    <w:rsid w:val="00C91746"/>
    <w:rsid w:val="00C92E3A"/>
    <w:rsid w:val="00C94E41"/>
    <w:rsid w:val="00C96EC9"/>
    <w:rsid w:val="00C972F5"/>
    <w:rsid w:val="00CA0FCF"/>
    <w:rsid w:val="00CA598E"/>
    <w:rsid w:val="00CA7C9F"/>
    <w:rsid w:val="00CB1709"/>
    <w:rsid w:val="00CB2504"/>
    <w:rsid w:val="00CB3137"/>
    <w:rsid w:val="00CB3467"/>
    <w:rsid w:val="00CB3494"/>
    <w:rsid w:val="00CB66D1"/>
    <w:rsid w:val="00CC09B9"/>
    <w:rsid w:val="00CC33BD"/>
    <w:rsid w:val="00CC3ADC"/>
    <w:rsid w:val="00CC50B1"/>
    <w:rsid w:val="00CC5AE7"/>
    <w:rsid w:val="00CC7D72"/>
    <w:rsid w:val="00CD352A"/>
    <w:rsid w:val="00CE0AA9"/>
    <w:rsid w:val="00CF3D28"/>
    <w:rsid w:val="00CF613C"/>
    <w:rsid w:val="00CF7013"/>
    <w:rsid w:val="00D00A69"/>
    <w:rsid w:val="00D022EE"/>
    <w:rsid w:val="00D0638B"/>
    <w:rsid w:val="00D21C7D"/>
    <w:rsid w:val="00D22D0C"/>
    <w:rsid w:val="00D23864"/>
    <w:rsid w:val="00D269AC"/>
    <w:rsid w:val="00D53788"/>
    <w:rsid w:val="00D5434E"/>
    <w:rsid w:val="00D556F0"/>
    <w:rsid w:val="00D63D94"/>
    <w:rsid w:val="00D669D3"/>
    <w:rsid w:val="00D74914"/>
    <w:rsid w:val="00D75A91"/>
    <w:rsid w:val="00D805AF"/>
    <w:rsid w:val="00D81F0C"/>
    <w:rsid w:val="00D84AAC"/>
    <w:rsid w:val="00D925E8"/>
    <w:rsid w:val="00D96469"/>
    <w:rsid w:val="00D96A65"/>
    <w:rsid w:val="00D97EB6"/>
    <w:rsid w:val="00DA2030"/>
    <w:rsid w:val="00DA22A3"/>
    <w:rsid w:val="00DA575D"/>
    <w:rsid w:val="00DA5CFC"/>
    <w:rsid w:val="00DA6636"/>
    <w:rsid w:val="00DB161C"/>
    <w:rsid w:val="00DB2BA7"/>
    <w:rsid w:val="00DB50DE"/>
    <w:rsid w:val="00DB51D2"/>
    <w:rsid w:val="00DC12FC"/>
    <w:rsid w:val="00DC74CF"/>
    <w:rsid w:val="00DC7523"/>
    <w:rsid w:val="00DD24DC"/>
    <w:rsid w:val="00DD2A64"/>
    <w:rsid w:val="00DD2FAF"/>
    <w:rsid w:val="00DD41B0"/>
    <w:rsid w:val="00DD6CE6"/>
    <w:rsid w:val="00DE58F5"/>
    <w:rsid w:val="00DE68BF"/>
    <w:rsid w:val="00DE7866"/>
    <w:rsid w:val="00DE7DB3"/>
    <w:rsid w:val="00DF0554"/>
    <w:rsid w:val="00DF106C"/>
    <w:rsid w:val="00DF150F"/>
    <w:rsid w:val="00DF16FF"/>
    <w:rsid w:val="00DF559A"/>
    <w:rsid w:val="00E0017C"/>
    <w:rsid w:val="00E0364A"/>
    <w:rsid w:val="00E03D9C"/>
    <w:rsid w:val="00E065CD"/>
    <w:rsid w:val="00E06D15"/>
    <w:rsid w:val="00E07B3C"/>
    <w:rsid w:val="00E106EC"/>
    <w:rsid w:val="00E113AB"/>
    <w:rsid w:val="00E11B41"/>
    <w:rsid w:val="00E1554C"/>
    <w:rsid w:val="00E15DE2"/>
    <w:rsid w:val="00E208A9"/>
    <w:rsid w:val="00E22363"/>
    <w:rsid w:val="00E25A02"/>
    <w:rsid w:val="00E2729F"/>
    <w:rsid w:val="00E32538"/>
    <w:rsid w:val="00E3336A"/>
    <w:rsid w:val="00E3377D"/>
    <w:rsid w:val="00E35C8E"/>
    <w:rsid w:val="00E42C65"/>
    <w:rsid w:val="00E43593"/>
    <w:rsid w:val="00E43CED"/>
    <w:rsid w:val="00E455BE"/>
    <w:rsid w:val="00E45674"/>
    <w:rsid w:val="00E5074A"/>
    <w:rsid w:val="00E52F21"/>
    <w:rsid w:val="00E5578C"/>
    <w:rsid w:val="00E56AF7"/>
    <w:rsid w:val="00E60076"/>
    <w:rsid w:val="00E64E4B"/>
    <w:rsid w:val="00E71706"/>
    <w:rsid w:val="00E759B6"/>
    <w:rsid w:val="00E76029"/>
    <w:rsid w:val="00E7782D"/>
    <w:rsid w:val="00E810A9"/>
    <w:rsid w:val="00E85156"/>
    <w:rsid w:val="00E854FF"/>
    <w:rsid w:val="00E93379"/>
    <w:rsid w:val="00E936BE"/>
    <w:rsid w:val="00E9561E"/>
    <w:rsid w:val="00E9571E"/>
    <w:rsid w:val="00E9692F"/>
    <w:rsid w:val="00EA0FB4"/>
    <w:rsid w:val="00EA23CC"/>
    <w:rsid w:val="00EA2F71"/>
    <w:rsid w:val="00EA53D5"/>
    <w:rsid w:val="00EA6199"/>
    <w:rsid w:val="00EA6E5C"/>
    <w:rsid w:val="00EA7EA9"/>
    <w:rsid w:val="00EB09D7"/>
    <w:rsid w:val="00EB25A1"/>
    <w:rsid w:val="00EB53E2"/>
    <w:rsid w:val="00EB77F6"/>
    <w:rsid w:val="00EB7DF5"/>
    <w:rsid w:val="00EC0059"/>
    <w:rsid w:val="00EC2341"/>
    <w:rsid w:val="00EC3396"/>
    <w:rsid w:val="00EC33FC"/>
    <w:rsid w:val="00ED1E5D"/>
    <w:rsid w:val="00ED21AC"/>
    <w:rsid w:val="00ED3F3D"/>
    <w:rsid w:val="00EE3515"/>
    <w:rsid w:val="00EE42C2"/>
    <w:rsid w:val="00EE6905"/>
    <w:rsid w:val="00EF1950"/>
    <w:rsid w:val="00EF4EE6"/>
    <w:rsid w:val="00EF4FF5"/>
    <w:rsid w:val="00EF6B6B"/>
    <w:rsid w:val="00F003C2"/>
    <w:rsid w:val="00F01437"/>
    <w:rsid w:val="00F01884"/>
    <w:rsid w:val="00F02B3D"/>
    <w:rsid w:val="00F10BF9"/>
    <w:rsid w:val="00F14C3C"/>
    <w:rsid w:val="00F16D53"/>
    <w:rsid w:val="00F2041A"/>
    <w:rsid w:val="00F21054"/>
    <w:rsid w:val="00F21EE9"/>
    <w:rsid w:val="00F237B8"/>
    <w:rsid w:val="00F279B0"/>
    <w:rsid w:val="00F32191"/>
    <w:rsid w:val="00F3403F"/>
    <w:rsid w:val="00F35774"/>
    <w:rsid w:val="00F41606"/>
    <w:rsid w:val="00F423EC"/>
    <w:rsid w:val="00F449A2"/>
    <w:rsid w:val="00F45CCB"/>
    <w:rsid w:val="00F530D4"/>
    <w:rsid w:val="00F60268"/>
    <w:rsid w:val="00F64F87"/>
    <w:rsid w:val="00F651D6"/>
    <w:rsid w:val="00F66BCA"/>
    <w:rsid w:val="00F710DA"/>
    <w:rsid w:val="00F716B7"/>
    <w:rsid w:val="00F72D8A"/>
    <w:rsid w:val="00F74CB7"/>
    <w:rsid w:val="00F75F72"/>
    <w:rsid w:val="00F82717"/>
    <w:rsid w:val="00F83226"/>
    <w:rsid w:val="00F8500D"/>
    <w:rsid w:val="00F86CFC"/>
    <w:rsid w:val="00F87183"/>
    <w:rsid w:val="00F9062C"/>
    <w:rsid w:val="00F971E8"/>
    <w:rsid w:val="00F9723D"/>
    <w:rsid w:val="00F97EC1"/>
    <w:rsid w:val="00FA3D4D"/>
    <w:rsid w:val="00FA4CE7"/>
    <w:rsid w:val="00FA6750"/>
    <w:rsid w:val="00FB3394"/>
    <w:rsid w:val="00FB33BE"/>
    <w:rsid w:val="00FB34E1"/>
    <w:rsid w:val="00FB51E0"/>
    <w:rsid w:val="00FC0180"/>
    <w:rsid w:val="00FC0A9B"/>
    <w:rsid w:val="00FC6B14"/>
    <w:rsid w:val="00FD262E"/>
    <w:rsid w:val="00FD5621"/>
    <w:rsid w:val="00FE3574"/>
    <w:rsid w:val="00FE5A1A"/>
    <w:rsid w:val="00FF0119"/>
    <w:rsid w:val="00FF1351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9484E"/>
  <w15:chartTrackingRefBased/>
  <w15:docId w15:val="{D06FF475-1E64-43FF-B2A6-0F6A77A1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B3C"/>
  </w:style>
  <w:style w:type="paragraph" w:styleId="Heading1">
    <w:name w:val="heading 1"/>
    <w:basedOn w:val="Normal"/>
    <w:next w:val="Normal"/>
    <w:link w:val="Heading1Char"/>
    <w:uiPriority w:val="9"/>
    <w:qFormat/>
    <w:rsid w:val="002E1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E25A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E25A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18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4196A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C45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E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25A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1B3"/>
  </w:style>
  <w:style w:type="paragraph" w:styleId="Footer">
    <w:name w:val="footer"/>
    <w:basedOn w:val="Normal"/>
    <w:link w:val="FooterChar"/>
    <w:uiPriority w:val="99"/>
    <w:unhideWhenUsed/>
    <w:rsid w:val="00404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1B3"/>
  </w:style>
  <w:style w:type="paragraph" w:styleId="NormalWeb">
    <w:name w:val="Normal (Web)"/>
    <w:basedOn w:val="Normal"/>
    <w:uiPriority w:val="99"/>
    <w:unhideWhenUsed/>
    <w:rsid w:val="00C4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styleId="ListParagraph">
    <w:name w:val="List Paragraph"/>
    <w:aliases w:val="Liste 1,List Paragraph1,Bullet Number,lp1,lp11,List Paragraph11,Bullet 1,Use Case List Paragraph,Bullet List,FooterText,Num Bullet 1,List Paragraph (numbered (a)),Bullets,Medium Grid 1 - Accent 22,Dot pt,F5 List Paragraph,Indicator Text"/>
    <w:basedOn w:val="Normal"/>
    <w:link w:val="ListParagraphChar"/>
    <w:uiPriority w:val="34"/>
    <w:qFormat/>
    <w:rsid w:val="007F3910"/>
    <w:pPr>
      <w:ind w:left="720"/>
      <w:contextualSpacing/>
    </w:pPr>
  </w:style>
  <w:style w:type="table" w:styleId="TableGrid">
    <w:name w:val="Table Grid"/>
    <w:basedOn w:val="TableNormal"/>
    <w:uiPriority w:val="39"/>
    <w:rsid w:val="009A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9A1F8D"/>
    <w:pPr>
      <w:spacing w:after="0" w:line="240" w:lineRule="auto"/>
    </w:pPr>
    <w:tblPr>
      <w:tblStyleRowBandSize w:val="1"/>
      <w:tblStyleColBandSize w:val="1"/>
      <w:tblBorders>
        <w:top w:val="single" w:sz="4" w:space="0" w:color="C4F0C2" w:themeColor="accent3" w:themeTint="66"/>
        <w:left w:val="single" w:sz="4" w:space="0" w:color="C4F0C2" w:themeColor="accent3" w:themeTint="66"/>
        <w:bottom w:val="single" w:sz="4" w:space="0" w:color="C4F0C2" w:themeColor="accent3" w:themeTint="66"/>
        <w:right w:val="single" w:sz="4" w:space="0" w:color="C4F0C2" w:themeColor="accent3" w:themeTint="66"/>
        <w:insideH w:val="single" w:sz="4" w:space="0" w:color="C4F0C2" w:themeColor="accent3" w:themeTint="66"/>
        <w:insideV w:val="single" w:sz="4" w:space="0" w:color="C4F0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E8A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E8A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A1F8D"/>
    <w:pPr>
      <w:spacing w:after="0" w:line="240" w:lineRule="auto"/>
    </w:pPr>
    <w:tblPr>
      <w:tblStyleRowBandSize w:val="1"/>
      <w:tblStyleColBandSize w:val="1"/>
      <w:tblBorders>
        <w:top w:val="single" w:sz="4" w:space="0" w:color="7474EC" w:themeColor="accent2" w:themeTint="66"/>
        <w:left w:val="single" w:sz="4" w:space="0" w:color="7474EC" w:themeColor="accent2" w:themeTint="66"/>
        <w:bottom w:val="single" w:sz="4" w:space="0" w:color="7474EC" w:themeColor="accent2" w:themeTint="66"/>
        <w:right w:val="single" w:sz="4" w:space="0" w:color="7474EC" w:themeColor="accent2" w:themeTint="66"/>
        <w:insideH w:val="single" w:sz="4" w:space="0" w:color="7474EC" w:themeColor="accent2" w:themeTint="66"/>
        <w:insideV w:val="single" w:sz="4" w:space="0" w:color="7474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F2F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2F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1">
    <w:name w:val="List Table 4 Accent 1"/>
    <w:basedOn w:val="TableNormal"/>
    <w:uiPriority w:val="49"/>
    <w:rsid w:val="009A1F8D"/>
    <w:pPr>
      <w:spacing w:after="0" w:line="240" w:lineRule="auto"/>
    </w:pPr>
    <w:tblPr>
      <w:tblStyleRowBandSize w:val="1"/>
      <w:tblStyleColBandSize w:val="1"/>
      <w:tblBorders>
        <w:top w:val="single" w:sz="4" w:space="0" w:color="7E84E6" w:themeColor="accent1" w:themeTint="99"/>
        <w:left w:val="single" w:sz="4" w:space="0" w:color="7E84E6" w:themeColor="accent1" w:themeTint="99"/>
        <w:bottom w:val="single" w:sz="4" w:space="0" w:color="7E84E6" w:themeColor="accent1" w:themeTint="99"/>
        <w:right w:val="single" w:sz="4" w:space="0" w:color="7E84E6" w:themeColor="accent1" w:themeTint="99"/>
        <w:insideH w:val="single" w:sz="4" w:space="0" w:color="7E84E6" w:themeColor="accen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2933D6" w:themeColor="accent1"/>
          <w:left w:val="single" w:sz="4" w:space="0" w:color="2933D6" w:themeColor="accent1"/>
          <w:bottom w:val="single" w:sz="4" w:space="0" w:color="2933D6" w:themeColor="accent1"/>
          <w:right w:val="single" w:sz="4" w:space="0" w:color="2933D6" w:themeColor="accent1"/>
          <w:insideH w:val="nil"/>
        </w:tcBorders>
        <w:shd w:val="clear" w:color="auto" w:fill="2933D6" w:themeFill="accent1"/>
      </w:tcPr>
    </w:tblStylePr>
    <w:tblStylePr w:type="lastRow">
      <w:rPr>
        <w:b/>
        <w:bCs/>
      </w:rPr>
      <w:tblPr/>
      <w:tcPr>
        <w:tcBorders>
          <w:top w:val="double" w:sz="4" w:space="0" w:color="7E84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F6" w:themeFill="accent1" w:themeFillTint="33"/>
      </w:tcPr>
    </w:tblStylePr>
    <w:tblStylePr w:type="band1Horz">
      <w:tblPr/>
      <w:tcPr>
        <w:shd w:val="clear" w:color="auto" w:fill="D4D6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A1F8D"/>
    <w:pPr>
      <w:spacing w:after="0" w:line="240" w:lineRule="auto"/>
    </w:pPr>
    <w:tblPr>
      <w:tblStyleRowBandSize w:val="1"/>
      <w:tblStyleColBandSize w:val="1"/>
      <w:tblBorders>
        <w:top w:val="single" w:sz="4" w:space="0" w:color="2F2FE2" w:themeColor="accent2" w:themeTint="99"/>
        <w:left w:val="single" w:sz="4" w:space="0" w:color="2F2FE2" w:themeColor="accent2" w:themeTint="99"/>
        <w:bottom w:val="single" w:sz="4" w:space="0" w:color="2F2FE2" w:themeColor="accent2" w:themeTint="99"/>
        <w:right w:val="single" w:sz="4" w:space="0" w:color="2F2FE2" w:themeColor="accent2" w:themeTint="99"/>
        <w:insideH w:val="single" w:sz="4" w:space="0" w:color="2F2FE2" w:themeColor="accent2" w:themeTint="99"/>
        <w:insideV w:val="single" w:sz="4" w:space="0" w:color="2F2FE2" w:themeColor="accent2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0E0E67" w:themeColor="accent2"/>
          <w:left w:val="single" w:sz="4" w:space="0" w:color="0E0E67" w:themeColor="accent2"/>
          <w:bottom w:val="single" w:sz="4" w:space="0" w:color="0E0E67" w:themeColor="accent2"/>
          <w:right w:val="single" w:sz="4" w:space="0" w:color="0E0E67" w:themeColor="accent2"/>
          <w:insideH w:val="nil"/>
          <w:insideV w:val="nil"/>
        </w:tcBorders>
        <w:shd w:val="clear" w:color="auto" w:fill="0E0E67" w:themeFill="accent2"/>
      </w:tcPr>
    </w:tblStylePr>
    <w:tblStylePr w:type="lastRow">
      <w:rPr>
        <w:b/>
        <w:bCs/>
      </w:rPr>
      <w:tblPr/>
      <w:tcPr>
        <w:tcBorders>
          <w:top w:val="double" w:sz="4" w:space="0" w:color="0E0E6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9F5" w:themeFill="accent2" w:themeFillTint="33"/>
      </w:tcPr>
    </w:tblStylePr>
    <w:tblStylePr w:type="band1Horz">
      <w:tblPr/>
      <w:tcPr>
        <w:shd w:val="clear" w:color="auto" w:fill="B9B9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A1F8D"/>
    <w:pPr>
      <w:spacing w:after="0" w:line="240" w:lineRule="auto"/>
    </w:pPr>
    <w:tblPr>
      <w:tblStyleRowBandSize w:val="1"/>
      <w:tblStyleColBandSize w:val="1"/>
      <w:tblBorders>
        <w:top w:val="single" w:sz="4" w:space="0" w:color="A7E8A4" w:themeColor="accent3" w:themeTint="99"/>
        <w:left w:val="single" w:sz="4" w:space="0" w:color="A7E8A4" w:themeColor="accent3" w:themeTint="99"/>
        <w:bottom w:val="single" w:sz="4" w:space="0" w:color="A7E8A4" w:themeColor="accent3" w:themeTint="99"/>
        <w:right w:val="single" w:sz="4" w:space="0" w:color="A7E8A4" w:themeColor="accent3" w:themeTint="99"/>
        <w:insideH w:val="single" w:sz="4" w:space="0" w:color="A7E8A4" w:themeColor="accent3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6EDA69" w:themeColor="accent3"/>
          <w:left w:val="single" w:sz="4" w:space="0" w:color="6EDA69" w:themeColor="accent3"/>
          <w:bottom w:val="single" w:sz="4" w:space="0" w:color="6EDA69" w:themeColor="accent3"/>
          <w:right w:val="single" w:sz="4" w:space="0" w:color="6EDA69" w:themeColor="accent3"/>
          <w:insideH w:val="nil"/>
        </w:tcBorders>
        <w:shd w:val="clear" w:color="auto" w:fill="6EDA69" w:themeFill="accent3"/>
      </w:tcPr>
    </w:tblStylePr>
    <w:tblStylePr w:type="lastRow">
      <w:rPr>
        <w:b/>
        <w:bCs/>
      </w:rPr>
      <w:tblPr/>
      <w:tcPr>
        <w:tcBorders>
          <w:top w:val="double" w:sz="4" w:space="0" w:color="A7E8A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7E0" w:themeFill="accent3" w:themeFillTint="33"/>
      </w:tcPr>
    </w:tblStylePr>
    <w:tblStylePr w:type="band1Horz">
      <w:tblPr/>
      <w:tcPr>
        <w:shd w:val="clear" w:color="auto" w:fill="E1F7E0" w:themeFill="accent3" w:themeFillTint="33"/>
      </w:tcPr>
    </w:tblStylePr>
  </w:style>
  <w:style w:type="paragraph" w:styleId="FootnoteText">
    <w:name w:val="footnote text"/>
    <w:aliases w:val="single space,ft,Sprotna opomba-besedilo,Char Char,Char Char Char Char,Char Char Char,Sprotna opomba - besedilo Znak1,Sprotna opomba - besedilo Znak Znak2,Sprotna opomba - besedilo Znak1 Znak Znak1,footnote text,FOOTNOTES,fn,ADB"/>
    <w:basedOn w:val="Normal"/>
    <w:link w:val="FootnoteTextChar"/>
    <w:uiPriority w:val="99"/>
    <w:unhideWhenUsed/>
    <w:qFormat/>
    <w:rsid w:val="001A4A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t Char,Sprotna opomba-besedilo Char,Char Char Char1,Char Char Char Char Char,Char Char Char Char1,Sprotna opomba - besedilo Znak1 Char,Sprotna opomba - besedilo Znak Znak2 Char,footnote text Char,FOOTNOTES Char"/>
    <w:basedOn w:val="DefaultParagraphFont"/>
    <w:link w:val="FootnoteText"/>
    <w:uiPriority w:val="99"/>
    <w:qFormat/>
    <w:rsid w:val="001A4A27"/>
    <w:rPr>
      <w:sz w:val="20"/>
      <w:szCs w:val="20"/>
    </w:rPr>
  </w:style>
  <w:style w:type="character" w:styleId="FootnoteReference">
    <w:name w:val="footnote reference"/>
    <w:aliases w:val="16 Point,Superscript 6 Point,Footnote symbol,Footnote reference number,Footnote Reference Number,BVI fnr,ftref,Знак сноски-FN,Estilo de nota al pie de Africa,Footnote Reference_LVL6,Footnote Reference_LVL61,Footnote Reference_LVL62,f1"/>
    <w:basedOn w:val="DefaultParagraphFont"/>
    <w:link w:val="Char2"/>
    <w:uiPriority w:val="99"/>
    <w:unhideWhenUsed/>
    <w:qFormat/>
    <w:rsid w:val="001A4A27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1A4A27"/>
    <w:pPr>
      <w:spacing w:after="0" w:line="240" w:lineRule="exact"/>
      <w:jc w:val="both"/>
    </w:pPr>
    <w:rPr>
      <w:vertAlign w:val="superscript"/>
    </w:rPr>
  </w:style>
  <w:style w:type="table" w:styleId="GridTable5Dark-Accent1">
    <w:name w:val="Grid Table 5 Dark Accent 1"/>
    <w:basedOn w:val="TableNormal"/>
    <w:uiPriority w:val="50"/>
    <w:rsid w:val="00F279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D4D6F6" w:themeFill="accent1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2933D6" w:themeFill="accent1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2933D6" w:themeFill="accent1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2933D6" w:themeFill="accent1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2933D6" w:themeFill="accent1"/>
      </w:tcPr>
    </w:tblStylePr>
    <w:tblStylePr w:type="band1Vert">
      <w:tblPr/>
      <w:tcPr>
        <w:shd w:val="clear" w:color="auto" w:fill="A9ADEE" w:themeFill="accent1" w:themeFillTint="66"/>
      </w:tcPr>
    </w:tblStylePr>
    <w:tblStylePr w:type="band1Horz">
      <w:tblPr/>
      <w:tcPr>
        <w:shd w:val="clear" w:color="auto" w:fill="A9ADEE" w:themeFill="accent1" w:themeFillTint="66"/>
      </w:tcPr>
    </w:tblStylePr>
  </w:style>
  <w:style w:type="character" w:styleId="CommentReference">
    <w:name w:val="annotation reference"/>
    <w:uiPriority w:val="99"/>
    <w:semiHidden/>
    <w:unhideWhenUsed/>
    <w:rsid w:val="00A4086A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A4086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GB"/>
      <w14:ligatures w14:val="none"/>
    </w:rPr>
  </w:style>
  <w:style w:type="character" w:customStyle="1" w:styleId="CommentTextChar">
    <w:name w:val="Comment Text Char"/>
    <w:basedOn w:val="DefaultParagraphFont"/>
    <w:uiPriority w:val="99"/>
    <w:rsid w:val="00A4086A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A4086A"/>
    <w:rPr>
      <w:rFonts w:ascii="Arial" w:eastAsia="Times New Roman" w:hAnsi="Arial" w:cs="Times New Roman"/>
      <w:kern w:val="0"/>
      <w:sz w:val="20"/>
      <w:szCs w:val="24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6A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C4544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6C4544"/>
    <w:rPr>
      <w:b/>
      <w:bCs/>
    </w:rPr>
  </w:style>
  <w:style w:type="character" w:customStyle="1" w:styleId="overflow-hidden">
    <w:name w:val="overflow-hidden"/>
    <w:basedOn w:val="DefaultParagraphFont"/>
    <w:rsid w:val="006C4544"/>
  </w:style>
  <w:style w:type="character" w:customStyle="1" w:styleId="Heading3Char">
    <w:name w:val="Heading 3 Char"/>
    <w:basedOn w:val="DefaultParagraphFont"/>
    <w:link w:val="Heading3"/>
    <w:uiPriority w:val="9"/>
    <w:rsid w:val="0074189C"/>
    <w:rPr>
      <w:rFonts w:asciiTheme="majorHAnsi" w:eastAsiaTheme="majorEastAsia" w:hAnsiTheme="majorHAnsi" w:cstheme="majorBidi"/>
      <w:color w:val="14196A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E35"/>
    <w:rPr>
      <w:rFonts w:asciiTheme="majorHAnsi" w:eastAsiaTheme="majorEastAsia" w:hAnsiTheme="majorHAnsi" w:cstheme="majorBidi"/>
      <w:color w:val="1E25A0" w:themeColor="accent1" w:themeShade="BF"/>
    </w:rPr>
  </w:style>
  <w:style w:type="character" w:styleId="Hyperlink">
    <w:name w:val="Hyperlink"/>
    <w:basedOn w:val="DefaultParagraphFont"/>
    <w:uiPriority w:val="99"/>
    <w:unhideWhenUsed/>
    <w:rsid w:val="00E07B3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448"/>
    <w:pPr>
      <w:spacing w:after="160"/>
    </w:pPr>
    <w:rPr>
      <w:rFonts w:asciiTheme="minorHAnsi" w:eastAsiaTheme="minorHAnsi" w:hAnsiTheme="minorHAnsi" w:cstheme="minorBidi"/>
      <w:b/>
      <w:bCs/>
      <w:szCs w:val="20"/>
      <w:lang w:val="sr-Latn-R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30448"/>
    <w:rPr>
      <w:rFonts w:ascii="Arial" w:eastAsia="Times New Roman" w:hAnsi="Arial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F7F18"/>
    <w:rPr>
      <w:rFonts w:asciiTheme="majorHAnsi" w:eastAsiaTheme="majorEastAsia" w:hAnsiTheme="majorHAnsi" w:cstheme="majorBidi"/>
      <w:color w:val="1E25A0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F7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F7F1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aliases w:val="Liste 1 Char,List Paragraph1 Char,Bullet Number Char,lp1 Char,lp11 Char,List Paragraph11 Char,Bullet 1 Char,Use Case List Paragraph Char,Bullet List Char,FooterText Char,Num Bullet 1 Char,List Paragraph (numbered (a)) Char"/>
    <w:link w:val="ListParagraph"/>
    <w:uiPriority w:val="34"/>
    <w:qFormat/>
    <w:rsid w:val="003F7F18"/>
  </w:style>
  <w:style w:type="paragraph" w:customStyle="1" w:styleId="DRUGI">
    <w:name w:val="DRUGI"/>
    <w:basedOn w:val="Heading2"/>
    <w:link w:val="DRUGIChar"/>
    <w:qFormat/>
    <w:rsid w:val="003F7F18"/>
    <w:pPr>
      <w:spacing w:before="120" w:line="252" w:lineRule="auto"/>
      <w:jc w:val="both"/>
    </w:pPr>
    <w:rPr>
      <w:rFonts w:ascii="Futura Light" w:hAnsi="Futura Light" w:cstheme="minorHAnsi"/>
      <w:b/>
      <w:color w:val="0E0E67"/>
      <w:kern w:val="0"/>
      <w:sz w:val="48"/>
      <w:szCs w:val="48"/>
      <w:lang w:val="en-US"/>
      <w14:ligatures w14:val="none"/>
    </w:rPr>
  </w:style>
  <w:style w:type="character" w:customStyle="1" w:styleId="DRUGIChar">
    <w:name w:val="DRUGI Char"/>
    <w:basedOn w:val="Heading2Char"/>
    <w:link w:val="DRUGI"/>
    <w:rsid w:val="003F7F18"/>
    <w:rPr>
      <w:rFonts w:ascii="Futura Light" w:eastAsiaTheme="majorEastAsia" w:hAnsi="Futura Light" w:cstheme="minorHAnsi"/>
      <w:b/>
      <w:color w:val="0E0E67"/>
      <w:kern w:val="0"/>
      <w:sz w:val="48"/>
      <w:szCs w:val="48"/>
      <w:lang w:val="en-US"/>
      <w14:ligatures w14:val="none"/>
    </w:rPr>
  </w:style>
  <w:style w:type="character" w:customStyle="1" w:styleId="ng-tns-c185-851">
    <w:name w:val="ng-tns-c185-851"/>
    <w:rsid w:val="003F7F18"/>
  </w:style>
  <w:style w:type="character" w:customStyle="1" w:styleId="Heading1Char">
    <w:name w:val="Heading 1 Char"/>
    <w:basedOn w:val="DefaultParagraphFont"/>
    <w:link w:val="Heading1"/>
    <w:uiPriority w:val="9"/>
    <w:rsid w:val="002E1017"/>
    <w:rPr>
      <w:rFonts w:asciiTheme="majorHAnsi" w:eastAsiaTheme="majorEastAsia" w:hAnsiTheme="majorHAnsi" w:cstheme="majorBidi"/>
      <w:color w:val="1E25A0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017"/>
    <w:pPr>
      <w:outlineLvl w:val="9"/>
    </w:pPr>
    <w:rPr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F21EE9"/>
    <w:pPr>
      <w:spacing w:after="100"/>
      <w:ind w:left="440"/>
    </w:pPr>
  </w:style>
  <w:style w:type="paragraph" w:customStyle="1" w:styleId="Default">
    <w:name w:val="Default"/>
    <w:rsid w:val="00004A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E36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369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29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8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611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3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4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64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1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1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5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58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8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2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7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0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0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6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ender@slglasnik.com" TargetMode="Externa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Relationship Id="rId22" Type="http://schemas.openxmlformats.org/officeDocument/2006/relationships/image" Target="media/image3.png"/><Relationship Id="rId30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352085-89FF-4371-819D-02677CA451FE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142DC61-BF3E-4333-8D9D-16C6AFAB5925}">
      <dgm:prSet phldrT="[Text]"/>
      <dgm:spPr/>
      <dgm:t>
        <a:bodyPr/>
        <a:lstStyle/>
        <a:p>
          <a:r>
            <a:rPr lang="sr-Latn-RS"/>
            <a:t>Planiranje nabavke</a:t>
          </a:r>
          <a:endParaRPr lang="en-US"/>
        </a:p>
      </dgm:t>
    </dgm:pt>
    <dgm:pt modelId="{C82B58BA-43D2-4731-B89C-070FAC7941F4}" type="parTrans" cxnId="{1A151274-CD05-4228-9ECC-5A6CB868D392}">
      <dgm:prSet/>
      <dgm:spPr/>
      <dgm:t>
        <a:bodyPr/>
        <a:lstStyle/>
        <a:p>
          <a:endParaRPr lang="en-US"/>
        </a:p>
      </dgm:t>
    </dgm:pt>
    <dgm:pt modelId="{3B556FC0-BDAC-4343-B7F2-448C12FF426D}" type="sibTrans" cxnId="{1A151274-CD05-4228-9ECC-5A6CB868D392}">
      <dgm:prSet/>
      <dgm:spPr/>
      <dgm:t>
        <a:bodyPr/>
        <a:lstStyle/>
        <a:p>
          <a:endParaRPr lang="en-US"/>
        </a:p>
      </dgm:t>
    </dgm:pt>
    <dgm:pt modelId="{CDC5B60B-59D3-46FF-B423-328621A0C1F3}">
      <dgm:prSet phldrT="[Text]"/>
      <dgm:spPr/>
      <dgm:t>
        <a:bodyPr/>
        <a:lstStyle/>
        <a:p>
          <a:r>
            <a:rPr lang="sr-Latn-RS"/>
            <a:t>Odluka o sprovođenju postupka </a:t>
          </a:r>
          <a:endParaRPr lang="en-US"/>
        </a:p>
      </dgm:t>
    </dgm:pt>
    <dgm:pt modelId="{928AEC88-EF80-4238-8233-AE5DCD4A2F15}" type="parTrans" cxnId="{F82BFD81-008F-466D-B804-1B5522DE7EFD}">
      <dgm:prSet/>
      <dgm:spPr/>
      <dgm:t>
        <a:bodyPr/>
        <a:lstStyle/>
        <a:p>
          <a:endParaRPr lang="en-US"/>
        </a:p>
      </dgm:t>
    </dgm:pt>
    <dgm:pt modelId="{9F8FDAE2-43BC-411C-986D-5E6CF8FC23FD}" type="sibTrans" cxnId="{F82BFD81-008F-466D-B804-1B5522DE7EFD}">
      <dgm:prSet/>
      <dgm:spPr/>
      <dgm:t>
        <a:bodyPr/>
        <a:lstStyle/>
        <a:p>
          <a:endParaRPr lang="en-US"/>
        </a:p>
      </dgm:t>
    </dgm:pt>
    <dgm:pt modelId="{F0F247A7-C2F5-4732-915C-8EFF30ADCD70}">
      <dgm:prSet phldrT="[Text]"/>
      <dgm:spPr/>
      <dgm:t>
        <a:bodyPr/>
        <a:lstStyle/>
        <a:p>
          <a:r>
            <a:rPr lang="sr-Latn-RS"/>
            <a:t>Javni poziv/Konkursna dokumentacija</a:t>
          </a:r>
          <a:endParaRPr lang="en-US"/>
        </a:p>
      </dgm:t>
    </dgm:pt>
    <dgm:pt modelId="{F7B96C43-E68A-4171-AFD3-2F1F454A8150}" type="parTrans" cxnId="{D8006B23-E764-4580-8AD1-DCB7C12ACC9A}">
      <dgm:prSet/>
      <dgm:spPr/>
      <dgm:t>
        <a:bodyPr/>
        <a:lstStyle/>
        <a:p>
          <a:endParaRPr lang="en-US"/>
        </a:p>
      </dgm:t>
    </dgm:pt>
    <dgm:pt modelId="{09A258BA-922B-471F-AEB5-A3AE4EE13333}" type="sibTrans" cxnId="{D8006B23-E764-4580-8AD1-DCB7C12ACC9A}">
      <dgm:prSet/>
      <dgm:spPr/>
      <dgm:t>
        <a:bodyPr/>
        <a:lstStyle/>
        <a:p>
          <a:endParaRPr lang="en-US"/>
        </a:p>
      </dgm:t>
    </dgm:pt>
    <dgm:pt modelId="{D7DD201D-EB35-46A8-BB7B-3197E7286E55}">
      <dgm:prSet phldrT="[Text]"/>
      <dgm:spPr/>
      <dgm:t>
        <a:bodyPr/>
        <a:lstStyle/>
        <a:p>
          <a:r>
            <a:rPr lang="sr-Latn-RS"/>
            <a:t>Stručna ocena prijava i prijem kandidata u sistem</a:t>
          </a:r>
          <a:endParaRPr lang="en-US"/>
        </a:p>
      </dgm:t>
    </dgm:pt>
    <dgm:pt modelId="{1FDC5820-13E5-405C-88A2-E20071DC64FE}" type="parTrans" cxnId="{81C6CDA0-E1F5-462A-B6DF-17258D1B35D6}">
      <dgm:prSet/>
      <dgm:spPr/>
      <dgm:t>
        <a:bodyPr/>
        <a:lstStyle/>
        <a:p>
          <a:endParaRPr lang="en-US"/>
        </a:p>
      </dgm:t>
    </dgm:pt>
    <dgm:pt modelId="{30C14674-E154-4B66-84BC-F93347BFE845}" type="sibTrans" cxnId="{81C6CDA0-E1F5-462A-B6DF-17258D1B35D6}">
      <dgm:prSet/>
      <dgm:spPr/>
      <dgm:t>
        <a:bodyPr/>
        <a:lstStyle/>
        <a:p>
          <a:endParaRPr lang="en-US"/>
        </a:p>
      </dgm:t>
    </dgm:pt>
    <dgm:pt modelId="{2B195BBC-C647-4800-8B80-1524F8A0C1A0}" type="pres">
      <dgm:prSet presAssocID="{91352085-89FF-4371-819D-02677CA451FE}" presName="Name0" presStyleCnt="0">
        <dgm:presLayoutVars>
          <dgm:dir/>
          <dgm:resizeHandles val="exact"/>
        </dgm:presLayoutVars>
      </dgm:prSet>
      <dgm:spPr/>
    </dgm:pt>
    <dgm:pt modelId="{3169DE13-9731-4C26-B948-394D9533677D}" type="pres">
      <dgm:prSet presAssocID="{9142DC61-BF3E-4333-8D9D-16C6AFAB5925}" presName="node" presStyleLbl="node1" presStyleIdx="0" presStyleCnt="4">
        <dgm:presLayoutVars>
          <dgm:bulletEnabled val="1"/>
        </dgm:presLayoutVars>
      </dgm:prSet>
      <dgm:spPr/>
    </dgm:pt>
    <dgm:pt modelId="{599F6CF7-93A6-423A-9A55-ECAB62EF1576}" type="pres">
      <dgm:prSet presAssocID="{3B556FC0-BDAC-4343-B7F2-448C12FF426D}" presName="sibTrans" presStyleLbl="sibTrans1D1" presStyleIdx="0" presStyleCnt="3"/>
      <dgm:spPr/>
    </dgm:pt>
    <dgm:pt modelId="{B04E5AAC-F932-48B8-88B2-A51B211DCA68}" type="pres">
      <dgm:prSet presAssocID="{3B556FC0-BDAC-4343-B7F2-448C12FF426D}" presName="connectorText" presStyleLbl="sibTrans1D1" presStyleIdx="0" presStyleCnt="3"/>
      <dgm:spPr/>
    </dgm:pt>
    <dgm:pt modelId="{22C3F08B-4ED7-41A4-BFBC-AE7955C289EF}" type="pres">
      <dgm:prSet presAssocID="{CDC5B60B-59D3-46FF-B423-328621A0C1F3}" presName="node" presStyleLbl="node1" presStyleIdx="1" presStyleCnt="4">
        <dgm:presLayoutVars>
          <dgm:bulletEnabled val="1"/>
        </dgm:presLayoutVars>
      </dgm:prSet>
      <dgm:spPr/>
    </dgm:pt>
    <dgm:pt modelId="{C92EE883-47C8-48D1-9EEC-D376C28BB5D5}" type="pres">
      <dgm:prSet presAssocID="{9F8FDAE2-43BC-411C-986D-5E6CF8FC23FD}" presName="sibTrans" presStyleLbl="sibTrans1D1" presStyleIdx="1" presStyleCnt="3"/>
      <dgm:spPr/>
    </dgm:pt>
    <dgm:pt modelId="{D3CE87AC-D0BC-4477-B0DB-F0A4B11D80FF}" type="pres">
      <dgm:prSet presAssocID="{9F8FDAE2-43BC-411C-986D-5E6CF8FC23FD}" presName="connectorText" presStyleLbl="sibTrans1D1" presStyleIdx="1" presStyleCnt="3"/>
      <dgm:spPr/>
    </dgm:pt>
    <dgm:pt modelId="{EC1A01A4-5EF9-409A-BCF3-9B692867DCBA}" type="pres">
      <dgm:prSet presAssocID="{F0F247A7-C2F5-4732-915C-8EFF30ADCD70}" presName="node" presStyleLbl="node1" presStyleIdx="2" presStyleCnt="4">
        <dgm:presLayoutVars>
          <dgm:bulletEnabled val="1"/>
        </dgm:presLayoutVars>
      </dgm:prSet>
      <dgm:spPr/>
    </dgm:pt>
    <dgm:pt modelId="{2D10715A-5BC7-4652-BC8D-D736056291B2}" type="pres">
      <dgm:prSet presAssocID="{09A258BA-922B-471F-AEB5-A3AE4EE13333}" presName="sibTrans" presStyleLbl="sibTrans1D1" presStyleIdx="2" presStyleCnt="3"/>
      <dgm:spPr/>
    </dgm:pt>
    <dgm:pt modelId="{CA71CACC-AE93-4FC1-B0F0-06C879FE30D9}" type="pres">
      <dgm:prSet presAssocID="{09A258BA-922B-471F-AEB5-A3AE4EE13333}" presName="connectorText" presStyleLbl="sibTrans1D1" presStyleIdx="2" presStyleCnt="3"/>
      <dgm:spPr/>
    </dgm:pt>
    <dgm:pt modelId="{66C122E1-5B1B-49DD-B383-E77165305454}" type="pres">
      <dgm:prSet presAssocID="{D7DD201D-EB35-46A8-BB7B-3197E7286E55}" presName="node" presStyleLbl="node1" presStyleIdx="3" presStyleCnt="4">
        <dgm:presLayoutVars>
          <dgm:bulletEnabled val="1"/>
        </dgm:presLayoutVars>
      </dgm:prSet>
      <dgm:spPr/>
    </dgm:pt>
  </dgm:ptLst>
  <dgm:cxnLst>
    <dgm:cxn modelId="{F7BCEE14-705F-46B6-B8F1-8EB864DF1151}" type="presOf" srcId="{91352085-89FF-4371-819D-02677CA451FE}" destId="{2B195BBC-C647-4800-8B80-1524F8A0C1A0}" srcOrd="0" destOrd="0" presId="urn:microsoft.com/office/officeart/2005/8/layout/bProcess3"/>
    <dgm:cxn modelId="{5A7D611C-EB64-4C6D-AD27-F392B78FCEEF}" type="presOf" srcId="{09A258BA-922B-471F-AEB5-A3AE4EE13333}" destId="{2D10715A-5BC7-4652-BC8D-D736056291B2}" srcOrd="0" destOrd="0" presId="urn:microsoft.com/office/officeart/2005/8/layout/bProcess3"/>
    <dgm:cxn modelId="{D8006B23-E764-4580-8AD1-DCB7C12ACC9A}" srcId="{91352085-89FF-4371-819D-02677CA451FE}" destId="{F0F247A7-C2F5-4732-915C-8EFF30ADCD70}" srcOrd="2" destOrd="0" parTransId="{F7B96C43-E68A-4171-AFD3-2F1F454A8150}" sibTransId="{09A258BA-922B-471F-AEB5-A3AE4EE13333}"/>
    <dgm:cxn modelId="{09120231-9483-4610-8B07-470F22F15CE1}" type="presOf" srcId="{3B556FC0-BDAC-4343-B7F2-448C12FF426D}" destId="{B04E5AAC-F932-48B8-88B2-A51B211DCA68}" srcOrd="1" destOrd="0" presId="urn:microsoft.com/office/officeart/2005/8/layout/bProcess3"/>
    <dgm:cxn modelId="{434C6E38-CA59-4B08-8C75-7B6EA0BC236E}" type="presOf" srcId="{CDC5B60B-59D3-46FF-B423-328621A0C1F3}" destId="{22C3F08B-4ED7-41A4-BFBC-AE7955C289EF}" srcOrd="0" destOrd="0" presId="urn:microsoft.com/office/officeart/2005/8/layout/bProcess3"/>
    <dgm:cxn modelId="{A04E144E-2CD9-4AFA-A579-1B44E124BDAB}" type="presOf" srcId="{09A258BA-922B-471F-AEB5-A3AE4EE13333}" destId="{CA71CACC-AE93-4FC1-B0F0-06C879FE30D9}" srcOrd="1" destOrd="0" presId="urn:microsoft.com/office/officeart/2005/8/layout/bProcess3"/>
    <dgm:cxn modelId="{1A151274-CD05-4228-9ECC-5A6CB868D392}" srcId="{91352085-89FF-4371-819D-02677CA451FE}" destId="{9142DC61-BF3E-4333-8D9D-16C6AFAB5925}" srcOrd="0" destOrd="0" parTransId="{C82B58BA-43D2-4731-B89C-070FAC7941F4}" sibTransId="{3B556FC0-BDAC-4343-B7F2-448C12FF426D}"/>
    <dgm:cxn modelId="{F82BFD81-008F-466D-B804-1B5522DE7EFD}" srcId="{91352085-89FF-4371-819D-02677CA451FE}" destId="{CDC5B60B-59D3-46FF-B423-328621A0C1F3}" srcOrd="1" destOrd="0" parTransId="{928AEC88-EF80-4238-8233-AE5DCD4A2F15}" sibTransId="{9F8FDAE2-43BC-411C-986D-5E6CF8FC23FD}"/>
    <dgm:cxn modelId="{81C6CDA0-E1F5-462A-B6DF-17258D1B35D6}" srcId="{91352085-89FF-4371-819D-02677CA451FE}" destId="{D7DD201D-EB35-46A8-BB7B-3197E7286E55}" srcOrd="3" destOrd="0" parTransId="{1FDC5820-13E5-405C-88A2-E20071DC64FE}" sibTransId="{30C14674-E154-4B66-84BC-F93347BFE845}"/>
    <dgm:cxn modelId="{235221BD-D467-4611-BF74-D248923F3370}" type="presOf" srcId="{9F8FDAE2-43BC-411C-986D-5E6CF8FC23FD}" destId="{C92EE883-47C8-48D1-9EEC-D376C28BB5D5}" srcOrd="0" destOrd="0" presId="urn:microsoft.com/office/officeart/2005/8/layout/bProcess3"/>
    <dgm:cxn modelId="{28870CC1-C7FD-47E9-9B94-74F9A14D32B1}" type="presOf" srcId="{9142DC61-BF3E-4333-8D9D-16C6AFAB5925}" destId="{3169DE13-9731-4C26-B948-394D9533677D}" srcOrd="0" destOrd="0" presId="urn:microsoft.com/office/officeart/2005/8/layout/bProcess3"/>
    <dgm:cxn modelId="{EA7FC9CB-233D-4C68-8375-6DDCBEFF7AB2}" type="presOf" srcId="{F0F247A7-C2F5-4732-915C-8EFF30ADCD70}" destId="{EC1A01A4-5EF9-409A-BCF3-9B692867DCBA}" srcOrd="0" destOrd="0" presId="urn:microsoft.com/office/officeart/2005/8/layout/bProcess3"/>
    <dgm:cxn modelId="{90D7E9E1-8A35-43EC-81C4-959ACD371CA0}" type="presOf" srcId="{9F8FDAE2-43BC-411C-986D-5E6CF8FC23FD}" destId="{D3CE87AC-D0BC-4477-B0DB-F0A4B11D80FF}" srcOrd="1" destOrd="0" presId="urn:microsoft.com/office/officeart/2005/8/layout/bProcess3"/>
    <dgm:cxn modelId="{71CB7DED-3498-45FC-B33F-D69D538D88F1}" type="presOf" srcId="{D7DD201D-EB35-46A8-BB7B-3197E7286E55}" destId="{66C122E1-5B1B-49DD-B383-E77165305454}" srcOrd="0" destOrd="0" presId="urn:microsoft.com/office/officeart/2005/8/layout/bProcess3"/>
    <dgm:cxn modelId="{26FECAF8-785E-4E9B-AC31-C4D096E938A2}" type="presOf" srcId="{3B556FC0-BDAC-4343-B7F2-448C12FF426D}" destId="{599F6CF7-93A6-423A-9A55-ECAB62EF1576}" srcOrd="0" destOrd="0" presId="urn:microsoft.com/office/officeart/2005/8/layout/bProcess3"/>
    <dgm:cxn modelId="{5073B315-9679-48A8-BE0A-F4BAC5B7E3F0}" type="presParOf" srcId="{2B195BBC-C647-4800-8B80-1524F8A0C1A0}" destId="{3169DE13-9731-4C26-B948-394D9533677D}" srcOrd="0" destOrd="0" presId="urn:microsoft.com/office/officeart/2005/8/layout/bProcess3"/>
    <dgm:cxn modelId="{C88765B2-B78B-46CD-9784-9DC75270DDC9}" type="presParOf" srcId="{2B195BBC-C647-4800-8B80-1524F8A0C1A0}" destId="{599F6CF7-93A6-423A-9A55-ECAB62EF1576}" srcOrd="1" destOrd="0" presId="urn:microsoft.com/office/officeart/2005/8/layout/bProcess3"/>
    <dgm:cxn modelId="{42D8A826-9AAD-4A75-A18D-13A18AFB4FEF}" type="presParOf" srcId="{599F6CF7-93A6-423A-9A55-ECAB62EF1576}" destId="{B04E5AAC-F932-48B8-88B2-A51B211DCA68}" srcOrd="0" destOrd="0" presId="urn:microsoft.com/office/officeart/2005/8/layout/bProcess3"/>
    <dgm:cxn modelId="{9F1EF122-85B2-4356-9E8C-DCAC08DEF21C}" type="presParOf" srcId="{2B195BBC-C647-4800-8B80-1524F8A0C1A0}" destId="{22C3F08B-4ED7-41A4-BFBC-AE7955C289EF}" srcOrd="2" destOrd="0" presId="urn:microsoft.com/office/officeart/2005/8/layout/bProcess3"/>
    <dgm:cxn modelId="{4FDF2509-8C9B-4D01-A55A-3102AF3C5B3B}" type="presParOf" srcId="{2B195BBC-C647-4800-8B80-1524F8A0C1A0}" destId="{C92EE883-47C8-48D1-9EEC-D376C28BB5D5}" srcOrd="3" destOrd="0" presId="urn:microsoft.com/office/officeart/2005/8/layout/bProcess3"/>
    <dgm:cxn modelId="{09C4A70A-A749-4F5D-8469-F28005012694}" type="presParOf" srcId="{C92EE883-47C8-48D1-9EEC-D376C28BB5D5}" destId="{D3CE87AC-D0BC-4477-B0DB-F0A4B11D80FF}" srcOrd="0" destOrd="0" presId="urn:microsoft.com/office/officeart/2005/8/layout/bProcess3"/>
    <dgm:cxn modelId="{8CF25F67-20E7-481D-9E41-964C8AD722E9}" type="presParOf" srcId="{2B195BBC-C647-4800-8B80-1524F8A0C1A0}" destId="{EC1A01A4-5EF9-409A-BCF3-9B692867DCBA}" srcOrd="4" destOrd="0" presId="urn:microsoft.com/office/officeart/2005/8/layout/bProcess3"/>
    <dgm:cxn modelId="{A99CFB43-CCDC-499E-AC59-85EA3C47D8E4}" type="presParOf" srcId="{2B195BBC-C647-4800-8B80-1524F8A0C1A0}" destId="{2D10715A-5BC7-4652-BC8D-D736056291B2}" srcOrd="5" destOrd="0" presId="urn:microsoft.com/office/officeart/2005/8/layout/bProcess3"/>
    <dgm:cxn modelId="{74053F00-DEB4-43B5-8703-F6E74E7764E1}" type="presParOf" srcId="{2D10715A-5BC7-4652-BC8D-D736056291B2}" destId="{CA71CACC-AE93-4FC1-B0F0-06C879FE30D9}" srcOrd="0" destOrd="0" presId="urn:microsoft.com/office/officeart/2005/8/layout/bProcess3"/>
    <dgm:cxn modelId="{6D592714-6424-41D7-819D-C2DFF415B5B4}" type="presParOf" srcId="{2B195BBC-C647-4800-8B80-1524F8A0C1A0}" destId="{66C122E1-5B1B-49DD-B383-E77165305454}" srcOrd="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57EBF36-85D4-4C97-B3E2-22800657F21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26CF770-62FF-491E-803D-40B09C28A79C}">
      <dgm:prSet phldrT="[Text]"/>
      <dgm:spPr/>
      <dgm:t>
        <a:bodyPr/>
        <a:lstStyle/>
        <a:p>
          <a:r>
            <a:rPr lang="sr-Latn-RS"/>
            <a:t>Pozivanje kvalifikovanih kandadata da podnesu ponude</a:t>
          </a:r>
          <a:endParaRPr lang="en-US"/>
        </a:p>
      </dgm:t>
    </dgm:pt>
    <dgm:pt modelId="{4A855986-015A-4DF5-BA44-74A543B20157}" type="parTrans" cxnId="{50B6CF41-9B54-4642-8285-A61CE74A11BA}">
      <dgm:prSet/>
      <dgm:spPr/>
      <dgm:t>
        <a:bodyPr/>
        <a:lstStyle/>
        <a:p>
          <a:endParaRPr lang="en-US"/>
        </a:p>
      </dgm:t>
    </dgm:pt>
    <dgm:pt modelId="{4AF4735B-D2CB-480E-94C8-6CDE04679246}" type="sibTrans" cxnId="{50B6CF41-9B54-4642-8285-A61CE74A11BA}">
      <dgm:prSet/>
      <dgm:spPr/>
      <dgm:t>
        <a:bodyPr/>
        <a:lstStyle/>
        <a:p>
          <a:endParaRPr lang="en-US"/>
        </a:p>
      </dgm:t>
    </dgm:pt>
    <dgm:pt modelId="{D7A8E5A0-3A0F-44F6-A774-E2CFE0A2A248}">
      <dgm:prSet phldrT="[Text]"/>
      <dgm:spPr/>
      <dgm:t>
        <a:bodyPr/>
        <a:lstStyle/>
        <a:p>
          <a:r>
            <a:rPr lang="sr-Latn-RS"/>
            <a:t>Stručna ocena ponuda i dodela ugovora</a:t>
          </a:r>
          <a:endParaRPr lang="en-US"/>
        </a:p>
      </dgm:t>
    </dgm:pt>
    <dgm:pt modelId="{D54A3306-437B-4DF2-8E01-52749F87C5D1}" type="parTrans" cxnId="{A6E8FA29-ECA2-435A-A419-0F12C5318715}">
      <dgm:prSet/>
      <dgm:spPr/>
      <dgm:t>
        <a:bodyPr/>
        <a:lstStyle/>
        <a:p>
          <a:endParaRPr lang="en-US"/>
        </a:p>
      </dgm:t>
    </dgm:pt>
    <dgm:pt modelId="{B60071ED-638D-49D3-8247-FF901DD2E696}" type="sibTrans" cxnId="{A6E8FA29-ECA2-435A-A419-0F12C5318715}">
      <dgm:prSet/>
      <dgm:spPr/>
      <dgm:t>
        <a:bodyPr/>
        <a:lstStyle/>
        <a:p>
          <a:endParaRPr lang="en-US"/>
        </a:p>
      </dgm:t>
    </dgm:pt>
    <dgm:pt modelId="{DCAC8A80-C7EE-49A1-9840-168DD0D19CB1}">
      <dgm:prSet phldrT="[Text]"/>
      <dgm:spPr/>
      <dgm:t>
        <a:bodyPr/>
        <a:lstStyle/>
        <a:p>
          <a:r>
            <a:rPr lang="sr-Latn-RS"/>
            <a:t>Zaključenje ugovora/objavljivanje podataka o zaključenim ugovorima/ objavljivanje tromesečnog zbirnog obaveštenja </a:t>
          </a:r>
          <a:endParaRPr lang="en-US"/>
        </a:p>
      </dgm:t>
    </dgm:pt>
    <dgm:pt modelId="{A2E0981C-757D-4476-8B6D-FA24845F355B}" type="parTrans" cxnId="{20086D81-77F8-4F97-9ABF-383FC470ECB9}">
      <dgm:prSet/>
      <dgm:spPr/>
      <dgm:t>
        <a:bodyPr/>
        <a:lstStyle/>
        <a:p>
          <a:endParaRPr lang="en-US"/>
        </a:p>
      </dgm:t>
    </dgm:pt>
    <dgm:pt modelId="{81338058-2C50-461E-85DF-1B8E9F61791B}" type="sibTrans" cxnId="{20086D81-77F8-4F97-9ABF-383FC470ECB9}">
      <dgm:prSet/>
      <dgm:spPr/>
      <dgm:t>
        <a:bodyPr/>
        <a:lstStyle/>
        <a:p>
          <a:endParaRPr lang="en-US"/>
        </a:p>
      </dgm:t>
    </dgm:pt>
    <dgm:pt modelId="{7FE41DBB-67F8-45A6-BFD9-E2F7F7B3A3E5}" type="pres">
      <dgm:prSet presAssocID="{557EBF36-85D4-4C97-B3E2-22800657F214}" presName="Name0" presStyleCnt="0">
        <dgm:presLayoutVars>
          <dgm:dir/>
          <dgm:resizeHandles val="exact"/>
        </dgm:presLayoutVars>
      </dgm:prSet>
      <dgm:spPr/>
    </dgm:pt>
    <dgm:pt modelId="{AD4E889D-91E4-4E36-A0C4-F0EF2D92B6F4}" type="pres">
      <dgm:prSet presAssocID="{B26CF770-62FF-491E-803D-40B09C28A79C}" presName="node" presStyleLbl="node1" presStyleIdx="0" presStyleCnt="3">
        <dgm:presLayoutVars>
          <dgm:bulletEnabled val="1"/>
        </dgm:presLayoutVars>
      </dgm:prSet>
      <dgm:spPr/>
    </dgm:pt>
    <dgm:pt modelId="{1A9883BA-1A47-4C61-B312-8A160224DFDA}" type="pres">
      <dgm:prSet presAssocID="{4AF4735B-D2CB-480E-94C8-6CDE04679246}" presName="sibTrans" presStyleLbl="sibTrans2D1" presStyleIdx="0" presStyleCnt="2"/>
      <dgm:spPr/>
    </dgm:pt>
    <dgm:pt modelId="{06257B5B-A8AD-429F-8D31-BB41CFBDFDCC}" type="pres">
      <dgm:prSet presAssocID="{4AF4735B-D2CB-480E-94C8-6CDE04679246}" presName="connectorText" presStyleLbl="sibTrans2D1" presStyleIdx="0" presStyleCnt="2"/>
      <dgm:spPr/>
    </dgm:pt>
    <dgm:pt modelId="{014080BA-6500-4A78-A7FE-F623F0D3438C}" type="pres">
      <dgm:prSet presAssocID="{D7A8E5A0-3A0F-44F6-A774-E2CFE0A2A248}" presName="node" presStyleLbl="node1" presStyleIdx="1" presStyleCnt="3">
        <dgm:presLayoutVars>
          <dgm:bulletEnabled val="1"/>
        </dgm:presLayoutVars>
      </dgm:prSet>
      <dgm:spPr/>
    </dgm:pt>
    <dgm:pt modelId="{345CF52D-8B62-46A4-BE8B-0138EC90A2F4}" type="pres">
      <dgm:prSet presAssocID="{B60071ED-638D-49D3-8247-FF901DD2E696}" presName="sibTrans" presStyleLbl="sibTrans2D1" presStyleIdx="1" presStyleCnt="2"/>
      <dgm:spPr/>
    </dgm:pt>
    <dgm:pt modelId="{4AA993FF-7D72-4D0F-9265-CCF9AC44F8FD}" type="pres">
      <dgm:prSet presAssocID="{B60071ED-638D-49D3-8247-FF901DD2E696}" presName="connectorText" presStyleLbl="sibTrans2D1" presStyleIdx="1" presStyleCnt="2"/>
      <dgm:spPr/>
    </dgm:pt>
    <dgm:pt modelId="{6BC6AD6C-D746-4C5C-B256-4A5C4EABA968}" type="pres">
      <dgm:prSet presAssocID="{DCAC8A80-C7EE-49A1-9840-168DD0D19CB1}" presName="node" presStyleLbl="node1" presStyleIdx="2" presStyleCnt="3">
        <dgm:presLayoutVars>
          <dgm:bulletEnabled val="1"/>
        </dgm:presLayoutVars>
      </dgm:prSet>
      <dgm:spPr/>
    </dgm:pt>
  </dgm:ptLst>
  <dgm:cxnLst>
    <dgm:cxn modelId="{E454F71B-6391-46C3-B94E-B690D3E71CE2}" type="presOf" srcId="{557EBF36-85D4-4C97-B3E2-22800657F214}" destId="{7FE41DBB-67F8-45A6-BFD9-E2F7F7B3A3E5}" srcOrd="0" destOrd="0" presId="urn:microsoft.com/office/officeart/2005/8/layout/process1"/>
    <dgm:cxn modelId="{A6E8FA29-ECA2-435A-A419-0F12C5318715}" srcId="{557EBF36-85D4-4C97-B3E2-22800657F214}" destId="{D7A8E5A0-3A0F-44F6-A774-E2CFE0A2A248}" srcOrd="1" destOrd="0" parTransId="{D54A3306-437B-4DF2-8E01-52749F87C5D1}" sibTransId="{B60071ED-638D-49D3-8247-FF901DD2E696}"/>
    <dgm:cxn modelId="{0AF19D33-09C6-4DDA-871E-3ECE6BA5BDD7}" type="presOf" srcId="{4AF4735B-D2CB-480E-94C8-6CDE04679246}" destId="{1A9883BA-1A47-4C61-B312-8A160224DFDA}" srcOrd="0" destOrd="0" presId="urn:microsoft.com/office/officeart/2005/8/layout/process1"/>
    <dgm:cxn modelId="{50B6CF41-9B54-4642-8285-A61CE74A11BA}" srcId="{557EBF36-85D4-4C97-B3E2-22800657F214}" destId="{B26CF770-62FF-491E-803D-40B09C28A79C}" srcOrd="0" destOrd="0" parTransId="{4A855986-015A-4DF5-BA44-74A543B20157}" sibTransId="{4AF4735B-D2CB-480E-94C8-6CDE04679246}"/>
    <dgm:cxn modelId="{CB210442-BF47-4B28-A379-EB35FDE2EAD5}" type="presOf" srcId="{B26CF770-62FF-491E-803D-40B09C28A79C}" destId="{AD4E889D-91E4-4E36-A0C4-F0EF2D92B6F4}" srcOrd="0" destOrd="0" presId="urn:microsoft.com/office/officeart/2005/8/layout/process1"/>
    <dgm:cxn modelId="{B69AEA51-7AF4-46AB-A49B-B9C9B8ECD19D}" type="presOf" srcId="{B60071ED-638D-49D3-8247-FF901DD2E696}" destId="{345CF52D-8B62-46A4-BE8B-0138EC90A2F4}" srcOrd="0" destOrd="0" presId="urn:microsoft.com/office/officeart/2005/8/layout/process1"/>
    <dgm:cxn modelId="{20086D81-77F8-4F97-9ABF-383FC470ECB9}" srcId="{557EBF36-85D4-4C97-B3E2-22800657F214}" destId="{DCAC8A80-C7EE-49A1-9840-168DD0D19CB1}" srcOrd="2" destOrd="0" parTransId="{A2E0981C-757D-4476-8B6D-FA24845F355B}" sibTransId="{81338058-2C50-461E-85DF-1B8E9F61791B}"/>
    <dgm:cxn modelId="{F83B51B3-3FDE-4445-9382-F41AFC4B81D5}" type="presOf" srcId="{4AF4735B-D2CB-480E-94C8-6CDE04679246}" destId="{06257B5B-A8AD-429F-8D31-BB41CFBDFDCC}" srcOrd="1" destOrd="0" presId="urn:microsoft.com/office/officeart/2005/8/layout/process1"/>
    <dgm:cxn modelId="{8661B2B9-856E-422E-8016-6C4B9EBF67CD}" type="presOf" srcId="{D7A8E5A0-3A0F-44F6-A774-E2CFE0A2A248}" destId="{014080BA-6500-4A78-A7FE-F623F0D3438C}" srcOrd="0" destOrd="0" presId="urn:microsoft.com/office/officeart/2005/8/layout/process1"/>
    <dgm:cxn modelId="{921BBBC0-1D75-4D83-980D-323693BCB4DF}" type="presOf" srcId="{DCAC8A80-C7EE-49A1-9840-168DD0D19CB1}" destId="{6BC6AD6C-D746-4C5C-B256-4A5C4EABA968}" srcOrd="0" destOrd="0" presId="urn:microsoft.com/office/officeart/2005/8/layout/process1"/>
    <dgm:cxn modelId="{E7392EC8-0D1B-401F-AE5C-02529DC86943}" type="presOf" srcId="{B60071ED-638D-49D3-8247-FF901DD2E696}" destId="{4AA993FF-7D72-4D0F-9265-CCF9AC44F8FD}" srcOrd="1" destOrd="0" presId="urn:microsoft.com/office/officeart/2005/8/layout/process1"/>
    <dgm:cxn modelId="{1A618951-21D5-437D-BB03-63BFB5A72F1A}" type="presParOf" srcId="{7FE41DBB-67F8-45A6-BFD9-E2F7F7B3A3E5}" destId="{AD4E889D-91E4-4E36-A0C4-F0EF2D92B6F4}" srcOrd="0" destOrd="0" presId="urn:microsoft.com/office/officeart/2005/8/layout/process1"/>
    <dgm:cxn modelId="{6935CE66-08DC-4B8B-AB3A-9F43D717E8F9}" type="presParOf" srcId="{7FE41DBB-67F8-45A6-BFD9-E2F7F7B3A3E5}" destId="{1A9883BA-1A47-4C61-B312-8A160224DFDA}" srcOrd="1" destOrd="0" presId="urn:microsoft.com/office/officeart/2005/8/layout/process1"/>
    <dgm:cxn modelId="{9BC76C01-287D-44A9-B302-5D62B9E3875D}" type="presParOf" srcId="{1A9883BA-1A47-4C61-B312-8A160224DFDA}" destId="{06257B5B-A8AD-429F-8D31-BB41CFBDFDCC}" srcOrd="0" destOrd="0" presId="urn:microsoft.com/office/officeart/2005/8/layout/process1"/>
    <dgm:cxn modelId="{F1529B1E-4E2E-4557-A8CE-C3161C22DA1E}" type="presParOf" srcId="{7FE41DBB-67F8-45A6-BFD9-E2F7F7B3A3E5}" destId="{014080BA-6500-4A78-A7FE-F623F0D3438C}" srcOrd="2" destOrd="0" presId="urn:microsoft.com/office/officeart/2005/8/layout/process1"/>
    <dgm:cxn modelId="{15B83AE7-BE83-450B-845B-9920B2B024AE}" type="presParOf" srcId="{7FE41DBB-67F8-45A6-BFD9-E2F7F7B3A3E5}" destId="{345CF52D-8B62-46A4-BE8B-0138EC90A2F4}" srcOrd="3" destOrd="0" presId="urn:microsoft.com/office/officeart/2005/8/layout/process1"/>
    <dgm:cxn modelId="{53A8691D-752E-4A53-8248-A8BCB819D32B}" type="presParOf" srcId="{345CF52D-8B62-46A4-BE8B-0138EC90A2F4}" destId="{4AA993FF-7D72-4D0F-9265-CCF9AC44F8FD}" srcOrd="0" destOrd="0" presId="urn:microsoft.com/office/officeart/2005/8/layout/process1"/>
    <dgm:cxn modelId="{54D85F4B-01A6-482C-9F32-8413A655EF5C}" type="presParOf" srcId="{7FE41DBB-67F8-45A6-BFD9-E2F7F7B3A3E5}" destId="{6BC6AD6C-D746-4C5C-B256-4A5C4EABA968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9F6CF7-93A6-423A-9A55-ECAB62EF1576}">
      <dsp:nvSpPr>
        <dsp:cNvPr id="0" name=""/>
        <dsp:cNvSpPr/>
      </dsp:nvSpPr>
      <dsp:spPr>
        <a:xfrm>
          <a:off x="2555323" y="440072"/>
          <a:ext cx="3415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1553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716796" y="483932"/>
        <a:ext cx="18607" cy="3721"/>
      </dsp:txXfrm>
    </dsp:sp>
    <dsp:sp modelId="{3169DE13-9731-4C26-B948-394D9533677D}">
      <dsp:nvSpPr>
        <dsp:cNvPr id="0" name=""/>
        <dsp:cNvSpPr/>
      </dsp:nvSpPr>
      <dsp:spPr>
        <a:xfrm>
          <a:off x="939063" y="375"/>
          <a:ext cx="1618059" cy="9708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400" kern="1200"/>
            <a:t>Planiranje nabavke</a:t>
          </a:r>
          <a:endParaRPr lang="en-US" sz="1400" kern="1200"/>
        </a:p>
      </dsp:txBody>
      <dsp:txXfrm>
        <a:off x="939063" y="375"/>
        <a:ext cx="1618059" cy="970835"/>
      </dsp:txXfrm>
    </dsp:sp>
    <dsp:sp modelId="{C92EE883-47C8-48D1-9EEC-D376C28BB5D5}">
      <dsp:nvSpPr>
        <dsp:cNvPr id="0" name=""/>
        <dsp:cNvSpPr/>
      </dsp:nvSpPr>
      <dsp:spPr>
        <a:xfrm>
          <a:off x="1748093" y="969410"/>
          <a:ext cx="1990213" cy="341553"/>
        </a:xfrm>
        <a:custGeom>
          <a:avLst/>
          <a:gdLst/>
          <a:ahLst/>
          <a:cxnLst/>
          <a:rect l="0" t="0" r="0" b="0"/>
          <a:pathLst>
            <a:path>
              <a:moveTo>
                <a:pt x="1990213" y="0"/>
              </a:moveTo>
              <a:lnTo>
                <a:pt x="1990213" y="187876"/>
              </a:lnTo>
              <a:lnTo>
                <a:pt x="0" y="187876"/>
              </a:lnTo>
              <a:lnTo>
                <a:pt x="0" y="341553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92582" y="1138326"/>
        <a:ext cx="101235" cy="3721"/>
      </dsp:txXfrm>
    </dsp:sp>
    <dsp:sp modelId="{22C3F08B-4ED7-41A4-BFBC-AE7955C289EF}">
      <dsp:nvSpPr>
        <dsp:cNvPr id="0" name=""/>
        <dsp:cNvSpPr/>
      </dsp:nvSpPr>
      <dsp:spPr>
        <a:xfrm>
          <a:off x="2929276" y="375"/>
          <a:ext cx="1618059" cy="9708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400" kern="1200"/>
            <a:t>Odluka o sprovođenju postupka </a:t>
          </a:r>
          <a:endParaRPr lang="en-US" sz="1400" kern="1200"/>
        </a:p>
      </dsp:txBody>
      <dsp:txXfrm>
        <a:off x="2929276" y="375"/>
        <a:ext cx="1618059" cy="970835"/>
      </dsp:txXfrm>
    </dsp:sp>
    <dsp:sp modelId="{2D10715A-5BC7-4652-BC8D-D736056291B2}">
      <dsp:nvSpPr>
        <dsp:cNvPr id="0" name=""/>
        <dsp:cNvSpPr/>
      </dsp:nvSpPr>
      <dsp:spPr>
        <a:xfrm>
          <a:off x="2555323" y="1783062"/>
          <a:ext cx="3415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1553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716796" y="1826921"/>
        <a:ext cx="18607" cy="3721"/>
      </dsp:txXfrm>
    </dsp:sp>
    <dsp:sp modelId="{EC1A01A4-5EF9-409A-BCF3-9B692867DCBA}">
      <dsp:nvSpPr>
        <dsp:cNvPr id="0" name=""/>
        <dsp:cNvSpPr/>
      </dsp:nvSpPr>
      <dsp:spPr>
        <a:xfrm>
          <a:off x="939063" y="1343364"/>
          <a:ext cx="1618059" cy="9708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400" kern="1200"/>
            <a:t>Javni poziv/Konkursna dokumentacija</a:t>
          </a:r>
          <a:endParaRPr lang="en-US" sz="1400" kern="1200"/>
        </a:p>
      </dsp:txBody>
      <dsp:txXfrm>
        <a:off x="939063" y="1343364"/>
        <a:ext cx="1618059" cy="970835"/>
      </dsp:txXfrm>
    </dsp:sp>
    <dsp:sp modelId="{66C122E1-5B1B-49DD-B383-E77165305454}">
      <dsp:nvSpPr>
        <dsp:cNvPr id="0" name=""/>
        <dsp:cNvSpPr/>
      </dsp:nvSpPr>
      <dsp:spPr>
        <a:xfrm>
          <a:off x="2929276" y="1343364"/>
          <a:ext cx="1618059" cy="9708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400" kern="1200"/>
            <a:t>Stručna ocena prijava i prijem kandidata u sistem</a:t>
          </a:r>
          <a:endParaRPr lang="en-US" sz="1400" kern="1200"/>
        </a:p>
      </dsp:txBody>
      <dsp:txXfrm>
        <a:off x="2929276" y="1343364"/>
        <a:ext cx="1618059" cy="9708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4E889D-91E4-4E36-A0C4-F0EF2D92B6F4}">
      <dsp:nvSpPr>
        <dsp:cNvPr id="0" name=""/>
        <dsp:cNvSpPr/>
      </dsp:nvSpPr>
      <dsp:spPr>
        <a:xfrm>
          <a:off x="4780" y="80669"/>
          <a:ext cx="1428740" cy="14198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100" kern="1200"/>
            <a:t>Pozivanje kvalifikovanih kandadata da podnesu ponude</a:t>
          </a:r>
          <a:endParaRPr lang="en-US" sz="1100" kern="1200"/>
        </a:p>
      </dsp:txBody>
      <dsp:txXfrm>
        <a:off x="46365" y="122254"/>
        <a:ext cx="1345570" cy="1336641"/>
      </dsp:txXfrm>
    </dsp:sp>
    <dsp:sp modelId="{1A9883BA-1A47-4C61-B312-8A160224DFDA}">
      <dsp:nvSpPr>
        <dsp:cNvPr id="0" name=""/>
        <dsp:cNvSpPr/>
      </dsp:nvSpPr>
      <dsp:spPr>
        <a:xfrm>
          <a:off x="1576394" y="613411"/>
          <a:ext cx="302893" cy="3543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576394" y="684276"/>
        <a:ext cx="212025" cy="212597"/>
      </dsp:txXfrm>
    </dsp:sp>
    <dsp:sp modelId="{014080BA-6500-4A78-A7FE-F623F0D3438C}">
      <dsp:nvSpPr>
        <dsp:cNvPr id="0" name=""/>
        <dsp:cNvSpPr/>
      </dsp:nvSpPr>
      <dsp:spPr>
        <a:xfrm>
          <a:off x="2005017" y="80669"/>
          <a:ext cx="1428740" cy="14198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100" kern="1200"/>
            <a:t>Stručna ocena ponuda i dodela ugovora</a:t>
          </a:r>
          <a:endParaRPr lang="en-US" sz="1100" kern="1200"/>
        </a:p>
      </dsp:txBody>
      <dsp:txXfrm>
        <a:off x="2046602" y="122254"/>
        <a:ext cx="1345570" cy="1336641"/>
      </dsp:txXfrm>
    </dsp:sp>
    <dsp:sp modelId="{345CF52D-8B62-46A4-BE8B-0138EC90A2F4}">
      <dsp:nvSpPr>
        <dsp:cNvPr id="0" name=""/>
        <dsp:cNvSpPr/>
      </dsp:nvSpPr>
      <dsp:spPr>
        <a:xfrm>
          <a:off x="3576631" y="613411"/>
          <a:ext cx="302893" cy="3543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3576631" y="684276"/>
        <a:ext cx="212025" cy="212597"/>
      </dsp:txXfrm>
    </dsp:sp>
    <dsp:sp modelId="{6BC6AD6C-D746-4C5C-B256-4A5C4EABA968}">
      <dsp:nvSpPr>
        <dsp:cNvPr id="0" name=""/>
        <dsp:cNvSpPr/>
      </dsp:nvSpPr>
      <dsp:spPr>
        <a:xfrm>
          <a:off x="4005254" y="80669"/>
          <a:ext cx="1428740" cy="14198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100" kern="1200"/>
            <a:t>Zaključenje ugovora/objavljivanje podataka o zaključenim ugovorima/ objavljivanje tromesečnog zbirnog obaveštenja </a:t>
          </a:r>
          <a:endParaRPr lang="en-US" sz="1100" kern="1200"/>
        </a:p>
      </dsp:txBody>
      <dsp:txXfrm>
        <a:off x="4046839" y="122254"/>
        <a:ext cx="1345570" cy="13366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2">
      <a:dk1>
        <a:srgbClr val="262626"/>
      </a:dk1>
      <a:lt1>
        <a:srgbClr val="F2F2F2"/>
      </a:lt1>
      <a:dk2>
        <a:srgbClr val="3F3F3F"/>
      </a:dk2>
      <a:lt2>
        <a:srgbClr val="BFBFBF"/>
      </a:lt2>
      <a:accent1>
        <a:srgbClr val="2933D6"/>
      </a:accent1>
      <a:accent2>
        <a:srgbClr val="0E0E67"/>
      </a:accent2>
      <a:accent3>
        <a:srgbClr val="6EDA69"/>
      </a:accent3>
      <a:accent4>
        <a:srgbClr val="C2DFFD"/>
      </a:accent4>
      <a:accent5>
        <a:srgbClr val="E2EFD9"/>
      </a:accent5>
      <a:accent6>
        <a:srgbClr val="A8D08D"/>
      </a:accent6>
      <a:hlink>
        <a:srgbClr val="6EDA69"/>
      </a:hlink>
      <a:folHlink>
        <a:srgbClr val="6EDA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0D64-AE8C-4B72-98F7-52EA2E2C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27</Pages>
  <Words>7484</Words>
  <Characters>42660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Trbojević</dc:creator>
  <cp:keywords/>
  <dc:description/>
  <cp:lastModifiedBy>Danijela Bojović</cp:lastModifiedBy>
  <cp:revision>5</cp:revision>
  <dcterms:created xsi:type="dcterms:W3CDTF">2025-01-27T09:19:00Z</dcterms:created>
  <dcterms:modified xsi:type="dcterms:W3CDTF">2025-01-27T11:25:00Z</dcterms:modified>
</cp:coreProperties>
</file>