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8104"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8231F37"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67153A0"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4A20860"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67283040" w14:textId="77777777" w:rsidR="009C35B6" w:rsidRPr="009C35B6" w:rsidRDefault="009C35B6" w:rsidP="009C35B6">
      <w:pPr>
        <w:spacing w:after="160" w:line="276" w:lineRule="auto"/>
        <w:jc w:val="center"/>
        <w:rPr>
          <w:rFonts w:ascii="Arial" w:eastAsia="Calibri" w:hAnsi="Arial" w:cs="Arial"/>
          <w:b/>
          <w:bCs/>
          <w:kern w:val="2"/>
          <w:sz w:val="44"/>
          <w:szCs w:val="44"/>
          <w:lang w:val="sr-Cyrl-RS"/>
          <w14:ligatures w14:val="standardContextual"/>
        </w:rPr>
      </w:pPr>
      <w:r w:rsidRPr="009C35B6">
        <w:rPr>
          <w:rFonts w:ascii="Arial" w:eastAsia="Calibri" w:hAnsi="Arial" w:cs="Arial"/>
          <w:b/>
          <w:bCs/>
          <w:kern w:val="2"/>
          <w:sz w:val="44"/>
          <w:szCs w:val="44"/>
          <w:lang w:val="sr-Cyrl-RS"/>
          <w14:ligatures w14:val="standardContextual"/>
        </w:rPr>
        <w:t>Анализа примене критеријума за доделу уговора који није заснован на цени</w:t>
      </w:r>
    </w:p>
    <w:p w14:paraId="0BCFFE3D"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45592EB8"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09622A67"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160177EE"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1629604"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4E21E5E7"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057DAF94"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41C58061"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0DAEB3E" w14:textId="150E5F5C" w:rsidR="009C35B6" w:rsidRPr="009C35B6" w:rsidRDefault="009C35B6" w:rsidP="009C35B6">
      <w:pPr>
        <w:spacing w:after="160" w:line="276" w:lineRule="auto"/>
        <w:jc w:val="center"/>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Београд, </w:t>
      </w:r>
      <w:r>
        <w:rPr>
          <w:rFonts w:ascii="Arial" w:eastAsia="Calibri" w:hAnsi="Arial" w:cs="Arial"/>
          <w:kern w:val="2"/>
          <w:lang w:val="sr-Cyrl-RS"/>
          <w14:ligatures w14:val="standardContextual"/>
        </w:rPr>
        <w:t>децембар</w:t>
      </w:r>
      <w:r w:rsidRPr="009C35B6">
        <w:rPr>
          <w:rFonts w:ascii="Arial" w:eastAsia="Calibri" w:hAnsi="Arial" w:cs="Arial"/>
          <w:kern w:val="2"/>
          <w:lang w:val="sr-Cyrl-RS"/>
          <w14:ligatures w14:val="standardContextual"/>
        </w:rPr>
        <w:t xml:space="preserve"> 2024. године</w:t>
      </w:r>
    </w:p>
    <w:p w14:paraId="469F70F7" w14:textId="1C894738" w:rsidR="009C35B6" w:rsidRPr="009C35B6" w:rsidRDefault="009C35B6" w:rsidP="0071780D">
      <w:pPr>
        <w:spacing w:after="160" w:line="276" w:lineRule="auto"/>
        <w:jc w:val="center"/>
        <w:rPr>
          <w:rFonts w:ascii="Arial" w:eastAsia="Calibri" w:hAnsi="Arial" w:cs="Arial"/>
          <w:kern w:val="2"/>
          <w:lang w:val="sr-Cyrl-RS"/>
          <w14:ligatures w14:val="standardContextual"/>
        </w:rPr>
      </w:pPr>
      <w:r w:rsidRPr="009C35B6">
        <w:rPr>
          <w:rFonts w:ascii="Arial" w:eastAsia="Calibri" w:hAnsi="Arial" w:cs="Arial"/>
          <w:b/>
          <w:bCs/>
          <w:kern w:val="2"/>
          <w:lang w:val="sr-Cyrl-RS"/>
          <w14:ligatures w14:val="standardContextual"/>
        </w:rPr>
        <w:lastRenderedPageBreak/>
        <w:t>САДРЖАЈ</w:t>
      </w:r>
    </w:p>
    <w:sdt>
      <w:sdtPr>
        <w:rPr>
          <w:rFonts w:asciiTheme="minorHAnsi" w:eastAsiaTheme="minorHAnsi" w:hAnsiTheme="minorHAnsi" w:cstheme="minorBidi"/>
          <w:color w:val="auto"/>
          <w:sz w:val="24"/>
          <w:szCs w:val="24"/>
        </w:rPr>
        <w:id w:val="-531038861"/>
        <w:docPartObj>
          <w:docPartGallery w:val="Table of Contents"/>
          <w:docPartUnique/>
        </w:docPartObj>
      </w:sdtPr>
      <w:sdtEndPr>
        <w:rPr>
          <w:b/>
          <w:bCs/>
          <w:noProof/>
        </w:rPr>
      </w:sdtEndPr>
      <w:sdtContent>
        <w:p w14:paraId="7159012B" w14:textId="45EF486D" w:rsidR="00D9691F" w:rsidRDefault="00D9691F">
          <w:pPr>
            <w:pStyle w:val="TOCHeading"/>
          </w:pPr>
        </w:p>
        <w:p w14:paraId="3044C166" w14:textId="20635622" w:rsidR="00A04BA4" w:rsidRDefault="00D9691F">
          <w:pPr>
            <w:pStyle w:val="TOC1"/>
            <w:tabs>
              <w:tab w:val="left" w:pos="1180"/>
              <w:tab w:val="right" w:leader="dot" w:pos="9016"/>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84988051" w:history="1">
            <w:r w:rsidR="00A04BA4" w:rsidRPr="00A05409">
              <w:rPr>
                <w:rStyle w:val="Hyperlink"/>
                <w:rFonts w:eastAsia="Calibri"/>
                <w:noProof/>
              </w:rPr>
              <w:t>1.</w:t>
            </w:r>
            <w:r w:rsidR="00A04BA4">
              <w:rPr>
                <w:rFonts w:asciiTheme="minorHAnsi" w:eastAsiaTheme="minorEastAsia" w:hAnsiTheme="minorHAnsi" w:cstheme="minorBidi"/>
                <w:noProof/>
                <w:sz w:val="22"/>
                <w:szCs w:val="22"/>
                <w:lang w:val="en-US"/>
              </w:rPr>
              <w:tab/>
            </w:r>
            <w:r w:rsidR="00A04BA4" w:rsidRPr="00A05409">
              <w:rPr>
                <w:rStyle w:val="Hyperlink"/>
                <w:rFonts w:eastAsia="Calibri"/>
                <w:noProof/>
              </w:rPr>
              <w:t>УВОДНЕ НАПОМЕНЕ</w:t>
            </w:r>
            <w:r w:rsidR="00A04BA4">
              <w:rPr>
                <w:noProof/>
                <w:webHidden/>
              </w:rPr>
              <w:tab/>
            </w:r>
            <w:r w:rsidR="00A04BA4">
              <w:rPr>
                <w:noProof/>
                <w:webHidden/>
              </w:rPr>
              <w:fldChar w:fldCharType="begin"/>
            </w:r>
            <w:r w:rsidR="00A04BA4">
              <w:rPr>
                <w:noProof/>
                <w:webHidden/>
              </w:rPr>
              <w:instrText xml:space="preserve"> PAGEREF _Toc184988051 \h </w:instrText>
            </w:r>
            <w:r w:rsidR="00A04BA4">
              <w:rPr>
                <w:noProof/>
                <w:webHidden/>
              </w:rPr>
            </w:r>
            <w:r w:rsidR="00A04BA4">
              <w:rPr>
                <w:noProof/>
                <w:webHidden/>
              </w:rPr>
              <w:fldChar w:fldCharType="separate"/>
            </w:r>
            <w:r w:rsidR="00A04BA4">
              <w:rPr>
                <w:noProof/>
                <w:webHidden/>
              </w:rPr>
              <w:t>3</w:t>
            </w:r>
            <w:r w:rsidR="00A04BA4">
              <w:rPr>
                <w:noProof/>
                <w:webHidden/>
              </w:rPr>
              <w:fldChar w:fldCharType="end"/>
            </w:r>
          </w:hyperlink>
        </w:p>
        <w:p w14:paraId="58BC36FA" w14:textId="139E478A" w:rsidR="00A04BA4" w:rsidRDefault="00000000">
          <w:pPr>
            <w:pStyle w:val="TOC1"/>
            <w:tabs>
              <w:tab w:val="left" w:pos="1180"/>
              <w:tab w:val="right" w:leader="dot" w:pos="9016"/>
            </w:tabs>
            <w:rPr>
              <w:rFonts w:asciiTheme="minorHAnsi" w:eastAsiaTheme="minorEastAsia" w:hAnsiTheme="minorHAnsi" w:cstheme="minorBidi"/>
              <w:noProof/>
              <w:sz w:val="22"/>
              <w:szCs w:val="22"/>
              <w:lang w:val="en-US"/>
            </w:rPr>
          </w:pPr>
          <w:hyperlink w:anchor="_Toc184988052" w:history="1">
            <w:r w:rsidR="00A04BA4" w:rsidRPr="00A05409">
              <w:rPr>
                <w:rStyle w:val="Hyperlink"/>
                <w:rFonts w:eastAsia="Calibri"/>
                <w:noProof/>
                <w:lang w:val="ru-RU"/>
              </w:rPr>
              <w:t>2.</w:t>
            </w:r>
            <w:r w:rsidR="00A04BA4">
              <w:rPr>
                <w:rFonts w:asciiTheme="minorHAnsi" w:eastAsiaTheme="minorEastAsia" w:hAnsiTheme="minorHAnsi" w:cstheme="minorBidi"/>
                <w:noProof/>
                <w:sz w:val="22"/>
                <w:szCs w:val="22"/>
                <w:lang w:val="en-US"/>
              </w:rPr>
              <w:tab/>
            </w:r>
            <w:r w:rsidR="00A04BA4" w:rsidRPr="00A05409">
              <w:rPr>
                <w:rStyle w:val="Hyperlink"/>
                <w:rFonts w:eastAsia="Calibri"/>
                <w:noProof/>
                <w:lang w:val="ru-RU"/>
              </w:rPr>
              <w:t>СТАТИСТИЧКИ ПОДАЦИ У ВЕЗИ СА ПРИМЕНОМ КРИТЕРИЈУМА ЗА ДОДЕЛУ УГОВОРА</w:t>
            </w:r>
            <w:r w:rsidR="00A04BA4">
              <w:rPr>
                <w:noProof/>
                <w:webHidden/>
              </w:rPr>
              <w:tab/>
            </w:r>
            <w:r w:rsidR="00A04BA4">
              <w:rPr>
                <w:noProof/>
                <w:webHidden/>
              </w:rPr>
              <w:fldChar w:fldCharType="begin"/>
            </w:r>
            <w:r w:rsidR="00A04BA4">
              <w:rPr>
                <w:noProof/>
                <w:webHidden/>
              </w:rPr>
              <w:instrText xml:space="preserve"> PAGEREF _Toc184988052 \h </w:instrText>
            </w:r>
            <w:r w:rsidR="00A04BA4">
              <w:rPr>
                <w:noProof/>
                <w:webHidden/>
              </w:rPr>
            </w:r>
            <w:r w:rsidR="00A04BA4">
              <w:rPr>
                <w:noProof/>
                <w:webHidden/>
              </w:rPr>
              <w:fldChar w:fldCharType="separate"/>
            </w:r>
            <w:r w:rsidR="00A04BA4">
              <w:rPr>
                <w:noProof/>
                <w:webHidden/>
              </w:rPr>
              <w:t>5</w:t>
            </w:r>
            <w:r w:rsidR="00A04BA4">
              <w:rPr>
                <w:noProof/>
                <w:webHidden/>
              </w:rPr>
              <w:fldChar w:fldCharType="end"/>
            </w:r>
          </w:hyperlink>
        </w:p>
        <w:p w14:paraId="4795F541" w14:textId="09A8F436" w:rsidR="00A04BA4" w:rsidRDefault="00000000">
          <w:pPr>
            <w:pStyle w:val="TOC1"/>
            <w:tabs>
              <w:tab w:val="right" w:leader="dot" w:pos="9016"/>
            </w:tabs>
            <w:rPr>
              <w:rFonts w:asciiTheme="minorHAnsi" w:eastAsiaTheme="minorEastAsia" w:hAnsiTheme="minorHAnsi" w:cstheme="minorBidi"/>
              <w:noProof/>
              <w:sz w:val="22"/>
              <w:szCs w:val="22"/>
              <w:lang w:val="en-US"/>
            </w:rPr>
          </w:pPr>
          <w:hyperlink w:anchor="_Toc184988053" w:history="1">
            <w:r w:rsidR="00A04BA4" w:rsidRPr="00A05409">
              <w:rPr>
                <w:rStyle w:val="Hyperlink"/>
                <w:rFonts w:eastAsia="Calibri"/>
                <w:noProof/>
                <w:lang w:val="ru-RU"/>
              </w:rPr>
              <w:t>3. ПРИМЕРИ ДОБРЕ ПРАКСЕ</w:t>
            </w:r>
            <w:r w:rsidR="00A04BA4">
              <w:rPr>
                <w:noProof/>
                <w:webHidden/>
              </w:rPr>
              <w:tab/>
            </w:r>
            <w:r w:rsidR="00A04BA4">
              <w:rPr>
                <w:noProof/>
                <w:webHidden/>
              </w:rPr>
              <w:fldChar w:fldCharType="begin"/>
            </w:r>
            <w:r w:rsidR="00A04BA4">
              <w:rPr>
                <w:noProof/>
                <w:webHidden/>
              </w:rPr>
              <w:instrText xml:space="preserve"> PAGEREF _Toc184988053 \h </w:instrText>
            </w:r>
            <w:r w:rsidR="00A04BA4">
              <w:rPr>
                <w:noProof/>
                <w:webHidden/>
              </w:rPr>
            </w:r>
            <w:r w:rsidR="00A04BA4">
              <w:rPr>
                <w:noProof/>
                <w:webHidden/>
              </w:rPr>
              <w:fldChar w:fldCharType="separate"/>
            </w:r>
            <w:r w:rsidR="00A04BA4">
              <w:rPr>
                <w:noProof/>
                <w:webHidden/>
              </w:rPr>
              <w:t>16</w:t>
            </w:r>
            <w:r w:rsidR="00A04BA4">
              <w:rPr>
                <w:noProof/>
                <w:webHidden/>
              </w:rPr>
              <w:fldChar w:fldCharType="end"/>
            </w:r>
          </w:hyperlink>
        </w:p>
        <w:p w14:paraId="5EEE8FAF" w14:textId="6437D667" w:rsidR="00A04BA4" w:rsidRDefault="00000000">
          <w:pPr>
            <w:pStyle w:val="TOC2"/>
            <w:tabs>
              <w:tab w:val="right" w:leader="dot" w:pos="9016"/>
            </w:tabs>
            <w:rPr>
              <w:rFonts w:asciiTheme="minorHAnsi" w:eastAsiaTheme="minorEastAsia" w:hAnsiTheme="minorHAnsi" w:cstheme="minorBidi"/>
              <w:noProof/>
              <w:sz w:val="22"/>
              <w:szCs w:val="22"/>
              <w:lang w:val="en-US"/>
            </w:rPr>
          </w:pPr>
          <w:hyperlink w:anchor="_Toc184988054" w:history="1">
            <w:r w:rsidR="00A04BA4" w:rsidRPr="00A05409">
              <w:rPr>
                <w:rStyle w:val="Hyperlink"/>
                <w:rFonts w:eastAsia="Calibri"/>
                <w:noProof/>
                <w:lang w:val="ru-RU"/>
              </w:rPr>
              <w:t>3.1. САВЕТОДАВНЕ И ПРАВНЕ УСЛУГЕ У</w:t>
            </w:r>
            <w:r w:rsidR="00A04BA4">
              <w:rPr>
                <w:noProof/>
                <w:webHidden/>
              </w:rPr>
              <w:tab/>
            </w:r>
            <w:r w:rsidR="00A04BA4">
              <w:rPr>
                <w:noProof/>
                <w:webHidden/>
              </w:rPr>
              <w:fldChar w:fldCharType="begin"/>
            </w:r>
            <w:r w:rsidR="00A04BA4">
              <w:rPr>
                <w:noProof/>
                <w:webHidden/>
              </w:rPr>
              <w:instrText xml:space="preserve"> PAGEREF _Toc184988054 \h </w:instrText>
            </w:r>
            <w:r w:rsidR="00A04BA4">
              <w:rPr>
                <w:noProof/>
                <w:webHidden/>
              </w:rPr>
            </w:r>
            <w:r w:rsidR="00A04BA4">
              <w:rPr>
                <w:noProof/>
                <w:webHidden/>
              </w:rPr>
              <w:fldChar w:fldCharType="separate"/>
            </w:r>
            <w:r w:rsidR="00A04BA4">
              <w:rPr>
                <w:noProof/>
                <w:webHidden/>
              </w:rPr>
              <w:t>17</w:t>
            </w:r>
            <w:r w:rsidR="00A04BA4">
              <w:rPr>
                <w:noProof/>
                <w:webHidden/>
              </w:rPr>
              <w:fldChar w:fldCharType="end"/>
            </w:r>
          </w:hyperlink>
        </w:p>
        <w:p w14:paraId="010B1AF3" w14:textId="32CE7DDD" w:rsidR="00A04BA4" w:rsidRDefault="00000000">
          <w:pPr>
            <w:pStyle w:val="TOC2"/>
            <w:tabs>
              <w:tab w:val="right" w:leader="dot" w:pos="9016"/>
            </w:tabs>
            <w:rPr>
              <w:rFonts w:asciiTheme="minorHAnsi" w:eastAsiaTheme="minorEastAsia" w:hAnsiTheme="minorHAnsi" w:cstheme="minorBidi"/>
              <w:noProof/>
              <w:sz w:val="22"/>
              <w:szCs w:val="22"/>
              <w:lang w:val="en-US"/>
            </w:rPr>
          </w:pPr>
          <w:hyperlink w:anchor="_Toc184988055" w:history="1">
            <w:r w:rsidR="00A04BA4" w:rsidRPr="00A05409">
              <w:rPr>
                <w:rStyle w:val="Hyperlink"/>
                <w:rFonts w:eastAsia="Calibri"/>
                <w:noProof/>
                <w:lang w:val="ru-RU"/>
              </w:rPr>
              <w:t>ОБЛАСТИ КОРПОРАТИВНОГ УПРАВЉАЊА</w:t>
            </w:r>
            <w:r w:rsidR="00A04BA4">
              <w:rPr>
                <w:noProof/>
                <w:webHidden/>
              </w:rPr>
              <w:tab/>
            </w:r>
            <w:r w:rsidR="00A04BA4">
              <w:rPr>
                <w:noProof/>
                <w:webHidden/>
              </w:rPr>
              <w:fldChar w:fldCharType="begin"/>
            </w:r>
            <w:r w:rsidR="00A04BA4">
              <w:rPr>
                <w:noProof/>
                <w:webHidden/>
              </w:rPr>
              <w:instrText xml:space="preserve"> PAGEREF _Toc184988055 \h </w:instrText>
            </w:r>
            <w:r w:rsidR="00A04BA4">
              <w:rPr>
                <w:noProof/>
                <w:webHidden/>
              </w:rPr>
            </w:r>
            <w:r w:rsidR="00A04BA4">
              <w:rPr>
                <w:noProof/>
                <w:webHidden/>
              </w:rPr>
              <w:fldChar w:fldCharType="separate"/>
            </w:r>
            <w:r w:rsidR="00A04BA4">
              <w:rPr>
                <w:noProof/>
                <w:webHidden/>
              </w:rPr>
              <w:t>17</w:t>
            </w:r>
            <w:r w:rsidR="00A04BA4">
              <w:rPr>
                <w:noProof/>
                <w:webHidden/>
              </w:rPr>
              <w:fldChar w:fldCharType="end"/>
            </w:r>
          </w:hyperlink>
        </w:p>
        <w:p w14:paraId="22157EBF" w14:textId="0425AA70" w:rsidR="00A04BA4" w:rsidRDefault="00000000">
          <w:pPr>
            <w:pStyle w:val="TOC2"/>
            <w:tabs>
              <w:tab w:val="right" w:leader="dot" w:pos="9016"/>
            </w:tabs>
            <w:rPr>
              <w:rFonts w:asciiTheme="minorHAnsi" w:eastAsiaTheme="minorEastAsia" w:hAnsiTheme="minorHAnsi" w:cstheme="minorBidi"/>
              <w:noProof/>
              <w:sz w:val="22"/>
              <w:szCs w:val="22"/>
              <w:lang w:val="en-US"/>
            </w:rPr>
          </w:pPr>
          <w:hyperlink w:anchor="_Toc184988056" w:history="1">
            <w:r w:rsidR="00A04BA4" w:rsidRPr="00A05409">
              <w:rPr>
                <w:rStyle w:val="Hyperlink"/>
                <w:rFonts w:eastAsia="Calibri"/>
                <w:noProof/>
              </w:rPr>
              <w:t>3.2. УСЛУГА ВЕШТАЧЕЊА</w:t>
            </w:r>
            <w:r w:rsidR="00A04BA4">
              <w:rPr>
                <w:noProof/>
                <w:webHidden/>
              </w:rPr>
              <w:tab/>
            </w:r>
            <w:r w:rsidR="00A04BA4">
              <w:rPr>
                <w:noProof/>
                <w:webHidden/>
              </w:rPr>
              <w:fldChar w:fldCharType="begin"/>
            </w:r>
            <w:r w:rsidR="00A04BA4">
              <w:rPr>
                <w:noProof/>
                <w:webHidden/>
              </w:rPr>
              <w:instrText xml:space="preserve"> PAGEREF _Toc184988056 \h </w:instrText>
            </w:r>
            <w:r w:rsidR="00A04BA4">
              <w:rPr>
                <w:noProof/>
                <w:webHidden/>
              </w:rPr>
            </w:r>
            <w:r w:rsidR="00A04BA4">
              <w:rPr>
                <w:noProof/>
                <w:webHidden/>
              </w:rPr>
              <w:fldChar w:fldCharType="separate"/>
            </w:r>
            <w:r w:rsidR="00A04BA4">
              <w:rPr>
                <w:noProof/>
                <w:webHidden/>
              </w:rPr>
              <w:t>21</w:t>
            </w:r>
            <w:r w:rsidR="00A04BA4">
              <w:rPr>
                <w:noProof/>
                <w:webHidden/>
              </w:rPr>
              <w:fldChar w:fldCharType="end"/>
            </w:r>
          </w:hyperlink>
        </w:p>
        <w:p w14:paraId="2DAC2E25" w14:textId="391F9AC3" w:rsidR="00A04BA4" w:rsidRDefault="00000000">
          <w:pPr>
            <w:pStyle w:val="TOC2"/>
            <w:tabs>
              <w:tab w:val="right" w:leader="dot" w:pos="9016"/>
            </w:tabs>
            <w:rPr>
              <w:rFonts w:asciiTheme="minorHAnsi" w:eastAsiaTheme="minorEastAsia" w:hAnsiTheme="minorHAnsi" w:cstheme="minorBidi"/>
              <w:noProof/>
              <w:sz w:val="22"/>
              <w:szCs w:val="22"/>
              <w:lang w:val="en-US"/>
            </w:rPr>
          </w:pPr>
          <w:hyperlink w:anchor="_Toc184988057" w:history="1">
            <w:r w:rsidR="00A04BA4" w:rsidRPr="00A05409">
              <w:rPr>
                <w:rStyle w:val="Hyperlink"/>
                <w:noProof/>
              </w:rPr>
              <w:t>3.3. УСЛУГА ТЕХНИЧКЕ КОНТРОЛЕ</w:t>
            </w:r>
            <w:r w:rsidR="00A04BA4">
              <w:rPr>
                <w:noProof/>
                <w:webHidden/>
              </w:rPr>
              <w:tab/>
            </w:r>
            <w:r w:rsidR="00A04BA4">
              <w:rPr>
                <w:noProof/>
                <w:webHidden/>
              </w:rPr>
              <w:fldChar w:fldCharType="begin"/>
            </w:r>
            <w:r w:rsidR="00A04BA4">
              <w:rPr>
                <w:noProof/>
                <w:webHidden/>
              </w:rPr>
              <w:instrText xml:space="preserve"> PAGEREF _Toc184988057 \h </w:instrText>
            </w:r>
            <w:r w:rsidR="00A04BA4">
              <w:rPr>
                <w:noProof/>
                <w:webHidden/>
              </w:rPr>
            </w:r>
            <w:r w:rsidR="00A04BA4">
              <w:rPr>
                <w:noProof/>
                <w:webHidden/>
              </w:rPr>
              <w:fldChar w:fldCharType="separate"/>
            </w:r>
            <w:r w:rsidR="00A04BA4">
              <w:rPr>
                <w:noProof/>
                <w:webHidden/>
              </w:rPr>
              <w:t>23</w:t>
            </w:r>
            <w:r w:rsidR="00A04BA4">
              <w:rPr>
                <w:noProof/>
                <w:webHidden/>
              </w:rPr>
              <w:fldChar w:fldCharType="end"/>
            </w:r>
          </w:hyperlink>
        </w:p>
        <w:p w14:paraId="41730EBB" w14:textId="6E564A65" w:rsidR="00A04BA4" w:rsidRDefault="00000000">
          <w:pPr>
            <w:pStyle w:val="TOC2"/>
            <w:tabs>
              <w:tab w:val="right" w:leader="dot" w:pos="9016"/>
            </w:tabs>
            <w:rPr>
              <w:rFonts w:asciiTheme="minorHAnsi" w:eastAsiaTheme="minorEastAsia" w:hAnsiTheme="minorHAnsi" w:cstheme="minorBidi"/>
              <w:noProof/>
              <w:sz w:val="22"/>
              <w:szCs w:val="22"/>
              <w:lang w:val="en-US"/>
            </w:rPr>
          </w:pPr>
          <w:hyperlink w:anchor="_Toc184988058" w:history="1">
            <w:r w:rsidR="00A04BA4" w:rsidRPr="00A05409">
              <w:rPr>
                <w:rStyle w:val="Hyperlink"/>
                <w:noProof/>
              </w:rPr>
              <w:t>ТЕХНИЧКЕ ДОКУМЕНТАЦИЈЕ</w:t>
            </w:r>
            <w:r w:rsidR="00A04BA4">
              <w:rPr>
                <w:noProof/>
                <w:webHidden/>
              </w:rPr>
              <w:tab/>
            </w:r>
            <w:r w:rsidR="00A04BA4">
              <w:rPr>
                <w:noProof/>
                <w:webHidden/>
              </w:rPr>
              <w:fldChar w:fldCharType="begin"/>
            </w:r>
            <w:r w:rsidR="00A04BA4">
              <w:rPr>
                <w:noProof/>
                <w:webHidden/>
              </w:rPr>
              <w:instrText xml:space="preserve"> PAGEREF _Toc184988058 \h </w:instrText>
            </w:r>
            <w:r w:rsidR="00A04BA4">
              <w:rPr>
                <w:noProof/>
                <w:webHidden/>
              </w:rPr>
            </w:r>
            <w:r w:rsidR="00A04BA4">
              <w:rPr>
                <w:noProof/>
                <w:webHidden/>
              </w:rPr>
              <w:fldChar w:fldCharType="separate"/>
            </w:r>
            <w:r w:rsidR="00A04BA4">
              <w:rPr>
                <w:noProof/>
                <w:webHidden/>
              </w:rPr>
              <w:t>23</w:t>
            </w:r>
            <w:r w:rsidR="00A04BA4">
              <w:rPr>
                <w:noProof/>
                <w:webHidden/>
              </w:rPr>
              <w:fldChar w:fldCharType="end"/>
            </w:r>
          </w:hyperlink>
        </w:p>
        <w:p w14:paraId="7608F07D" w14:textId="59389373" w:rsidR="00A04BA4" w:rsidRDefault="00000000">
          <w:pPr>
            <w:pStyle w:val="TOC2"/>
            <w:tabs>
              <w:tab w:val="right" w:leader="dot" w:pos="9016"/>
            </w:tabs>
            <w:rPr>
              <w:rFonts w:asciiTheme="minorHAnsi" w:eastAsiaTheme="minorEastAsia" w:hAnsiTheme="minorHAnsi" w:cstheme="minorBidi"/>
              <w:noProof/>
              <w:sz w:val="22"/>
              <w:szCs w:val="22"/>
              <w:lang w:val="en-US"/>
            </w:rPr>
          </w:pPr>
          <w:hyperlink w:anchor="_Toc184988059" w:history="1">
            <w:r w:rsidR="00A04BA4" w:rsidRPr="00A05409">
              <w:rPr>
                <w:rStyle w:val="Hyperlink"/>
                <w:noProof/>
              </w:rPr>
              <w:t>3.4. ГОРИВО ЗА МОТОРНА ВОЗИЛА</w:t>
            </w:r>
            <w:r w:rsidR="00A04BA4">
              <w:rPr>
                <w:noProof/>
                <w:webHidden/>
              </w:rPr>
              <w:tab/>
            </w:r>
            <w:r w:rsidR="00A04BA4">
              <w:rPr>
                <w:noProof/>
                <w:webHidden/>
              </w:rPr>
              <w:fldChar w:fldCharType="begin"/>
            </w:r>
            <w:r w:rsidR="00A04BA4">
              <w:rPr>
                <w:noProof/>
                <w:webHidden/>
              </w:rPr>
              <w:instrText xml:space="preserve"> PAGEREF _Toc184988059 \h </w:instrText>
            </w:r>
            <w:r w:rsidR="00A04BA4">
              <w:rPr>
                <w:noProof/>
                <w:webHidden/>
              </w:rPr>
            </w:r>
            <w:r w:rsidR="00A04BA4">
              <w:rPr>
                <w:noProof/>
                <w:webHidden/>
              </w:rPr>
              <w:fldChar w:fldCharType="separate"/>
            </w:r>
            <w:r w:rsidR="00A04BA4">
              <w:rPr>
                <w:noProof/>
                <w:webHidden/>
              </w:rPr>
              <w:t>26</w:t>
            </w:r>
            <w:r w:rsidR="00A04BA4">
              <w:rPr>
                <w:noProof/>
                <w:webHidden/>
              </w:rPr>
              <w:fldChar w:fldCharType="end"/>
            </w:r>
          </w:hyperlink>
        </w:p>
        <w:p w14:paraId="4FFED7C1" w14:textId="5F71F82A" w:rsidR="00A04BA4" w:rsidRDefault="00000000">
          <w:pPr>
            <w:pStyle w:val="TOC2"/>
            <w:tabs>
              <w:tab w:val="right" w:leader="dot" w:pos="9016"/>
            </w:tabs>
            <w:rPr>
              <w:rFonts w:asciiTheme="minorHAnsi" w:eastAsiaTheme="minorEastAsia" w:hAnsiTheme="minorHAnsi" w:cstheme="minorBidi"/>
              <w:noProof/>
              <w:sz w:val="22"/>
              <w:szCs w:val="22"/>
              <w:lang w:val="en-US"/>
            </w:rPr>
          </w:pPr>
          <w:hyperlink w:anchor="_Toc184988060" w:history="1">
            <w:r w:rsidR="00A04BA4" w:rsidRPr="00A05409">
              <w:rPr>
                <w:rStyle w:val="Hyperlink"/>
                <w:noProof/>
              </w:rPr>
              <w:t>3.5. УСЛУГЕ ГЕОДЕТСКИХ СНИМАЊА</w:t>
            </w:r>
            <w:r w:rsidR="00A04BA4">
              <w:rPr>
                <w:noProof/>
                <w:webHidden/>
              </w:rPr>
              <w:tab/>
            </w:r>
            <w:r w:rsidR="00A04BA4">
              <w:rPr>
                <w:noProof/>
                <w:webHidden/>
              </w:rPr>
              <w:fldChar w:fldCharType="begin"/>
            </w:r>
            <w:r w:rsidR="00A04BA4">
              <w:rPr>
                <w:noProof/>
                <w:webHidden/>
              </w:rPr>
              <w:instrText xml:space="preserve"> PAGEREF _Toc184988060 \h </w:instrText>
            </w:r>
            <w:r w:rsidR="00A04BA4">
              <w:rPr>
                <w:noProof/>
                <w:webHidden/>
              </w:rPr>
            </w:r>
            <w:r w:rsidR="00A04BA4">
              <w:rPr>
                <w:noProof/>
                <w:webHidden/>
              </w:rPr>
              <w:fldChar w:fldCharType="separate"/>
            </w:r>
            <w:r w:rsidR="00A04BA4">
              <w:rPr>
                <w:noProof/>
                <w:webHidden/>
              </w:rPr>
              <w:t>28</w:t>
            </w:r>
            <w:r w:rsidR="00A04BA4">
              <w:rPr>
                <w:noProof/>
                <w:webHidden/>
              </w:rPr>
              <w:fldChar w:fldCharType="end"/>
            </w:r>
          </w:hyperlink>
        </w:p>
        <w:p w14:paraId="7EA7FA20" w14:textId="33C8A490" w:rsidR="00A04BA4" w:rsidRDefault="00000000">
          <w:pPr>
            <w:pStyle w:val="TOC2"/>
            <w:tabs>
              <w:tab w:val="left" w:pos="1180"/>
              <w:tab w:val="right" w:leader="dot" w:pos="9016"/>
            </w:tabs>
            <w:rPr>
              <w:rFonts w:asciiTheme="minorHAnsi" w:eastAsiaTheme="minorEastAsia" w:hAnsiTheme="minorHAnsi" w:cstheme="minorBidi"/>
              <w:noProof/>
              <w:sz w:val="22"/>
              <w:szCs w:val="22"/>
              <w:lang w:val="en-US"/>
            </w:rPr>
          </w:pPr>
          <w:hyperlink w:anchor="_Toc184988061" w:history="1">
            <w:r w:rsidR="00A04BA4" w:rsidRPr="00A05409">
              <w:rPr>
                <w:rStyle w:val="Hyperlink"/>
                <w:noProof/>
                <w:lang w:val="ru-RU"/>
              </w:rPr>
              <w:t>3.6.</w:t>
            </w:r>
            <w:r w:rsidR="00A04BA4">
              <w:rPr>
                <w:rFonts w:asciiTheme="minorHAnsi" w:eastAsiaTheme="minorEastAsia" w:hAnsiTheme="minorHAnsi" w:cstheme="minorBidi"/>
                <w:noProof/>
                <w:sz w:val="22"/>
                <w:szCs w:val="22"/>
                <w:lang w:val="en-US"/>
              </w:rPr>
              <w:tab/>
            </w:r>
            <w:r w:rsidR="00A04BA4" w:rsidRPr="00A05409">
              <w:rPr>
                <w:rStyle w:val="Hyperlink"/>
                <w:noProof/>
                <w:lang w:val="ru-RU"/>
              </w:rPr>
              <w:t>УСЛУГЕ ПРЕВОЂЕЊА СТРУЧНЕ ЛИТЕРАТУРЕ И АУТОРСКИХ ТЕКСТОВА</w:t>
            </w:r>
            <w:r w:rsidR="00A04BA4">
              <w:rPr>
                <w:noProof/>
                <w:webHidden/>
              </w:rPr>
              <w:tab/>
            </w:r>
            <w:r w:rsidR="00A04BA4">
              <w:rPr>
                <w:noProof/>
                <w:webHidden/>
              </w:rPr>
              <w:fldChar w:fldCharType="begin"/>
            </w:r>
            <w:r w:rsidR="00A04BA4">
              <w:rPr>
                <w:noProof/>
                <w:webHidden/>
              </w:rPr>
              <w:instrText xml:space="preserve"> PAGEREF _Toc184988061 \h </w:instrText>
            </w:r>
            <w:r w:rsidR="00A04BA4">
              <w:rPr>
                <w:noProof/>
                <w:webHidden/>
              </w:rPr>
            </w:r>
            <w:r w:rsidR="00A04BA4">
              <w:rPr>
                <w:noProof/>
                <w:webHidden/>
              </w:rPr>
              <w:fldChar w:fldCharType="separate"/>
            </w:r>
            <w:r w:rsidR="00A04BA4">
              <w:rPr>
                <w:noProof/>
                <w:webHidden/>
              </w:rPr>
              <w:t>31</w:t>
            </w:r>
            <w:r w:rsidR="00A04BA4">
              <w:rPr>
                <w:noProof/>
                <w:webHidden/>
              </w:rPr>
              <w:fldChar w:fldCharType="end"/>
            </w:r>
          </w:hyperlink>
        </w:p>
        <w:p w14:paraId="0D3396DD" w14:textId="1146D9CC" w:rsidR="00A04BA4" w:rsidRDefault="00000000">
          <w:pPr>
            <w:pStyle w:val="TOC1"/>
            <w:tabs>
              <w:tab w:val="left" w:pos="1180"/>
              <w:tab w:val="right" w:leader="dot" w:pos="9016"/>
            </w:tabs>
            <w:rPr>
              <w:rFonts w:asciiTheme="minorHAnsi" w:eastAsiaTheme="minorEastAsia" w:hAnsiTheme="minorHAnsi" w:cstheme="minorBidi"/>
              <w:noProof/>
              <w:sz w:val="22"/>
              <w:szCs w:val="22"/>
              <w:lang w:val="en-US"/>
            </w:rPr>
          </w:pPr>
          <w:hyperlink w:anchor="_Toc184988062" w:history="1">
            <w:r w:rsidR="00A04BA4" w:rsidRPr="00A05409">
              <w:rPr>
                <w:rStyle w:val="Hyperlink"/>
                <w:rFonts w:eastAsia="Calibri"/>
                <w:noProof/>
              </w:rPr>
              <w:t>4.</w:t>
            </w:r>
            <w:r w:rsidR="00A04BA4">
              <w:rPr>
                <w:rFonts w:asciiTheme="minorHAnsi" w:eastAsiaTheme="minorEastAsia" w:hAnsiTheme="minorHAnsi" w:cstheme="minorBidi"/>
                <w:noProof/>
                <w:sz w:val="22"/>
                <w:szCs w:val="22"/>
                <w:lang w:val="en-US"/>
              </w:rPr>
              <w:tab/>
            </w:r>
            <w:r w:rsidR="00A04BA4" w:rsidRPr="00A05409">
              <w:rPr>
                <w:rStyle w:val="Hyperlink"/>
                <w:rFonts w:eastAsia="Calibri"/>
                <w:noProof/>
              </w:rPr>
              <w:t>ЗАКЉУЧАК</w:t>
            </w:r>
            <w:r w:rsidR="00A04BA4">
              <w:rPr>
                <w:noProof/>
                <w:webHidden/>
              </w:rPr>
              <w:tab/>
            </w:r>
            <w:r w:rsidR="00A04BA4">
              <w:rPr>
                <w:noProof/>
                <w:webHidden/>
              </w:rPr>
              <w:fldChar w:fldCharType="begin"/>
            </w:r>
            <w:r w:rsidR="00A04BA4">
              <w:rPr>
                <w:noProof/>
                <w:webHidden/>
              </w:rPr>
              <w:instrText xml:space="preserve"> PAGEREF _Toc184988062 \h </w:instrText>
            </w:r>
            <w:r w:rsidR="00A04BA4">
              <w:rPr>
                <w:noProof/>
                <w:webHidden/>
              </w:rPr>
            </w:r>
            <w:r w:rsidR="00A04BA4">
              <w:rPr>
                <w:noProof/>
                <w:webHidden/>
              </w:rPr>
              <w:fldChar w:fldCharType="separate"/>
            </w:r>
            <w:r w:rsidR="00A04BA4">
              <w:rPr>
                <w:noProof/>
                <w:webHidden/>
              </w:rPr>
              <w:t>35</w:t>
            </w:r>
            <w:r w:rsidR="00A04BA4">
              <w:rPr>
                <w:noProof/>
                <w:webHidden/>
              </w:rPr>
              <w:fldChar w:fldCharType="end"/>
            </w:r>
          </w:hyperlink>
        </w:p>
        <w:p w14:paraId="7E8EC48E" w14:textId="1372A586" w:rsidR="00D9691F" w:rsidRDefault="00D9691F">
          <w:r>
            <w:rPr>
              <w:b/>
              <w:bCs/>
              <w:noProof/>
            </w:rPr>
            <w:fldChar w:fldCharType="end"/>
          </w:r>
        </w:p>
      </w:sdtContent>
    </w:sdt>
    <w:p w14:paraId="6DBD906A" w14:textId="77777777" w:rsidR="009C35B6" w:rsidRPr="009C35B6" w:rsidRDefault="009C35B6" w:rsidP="009C35B6">
      <w:pPr>
        <w:spacing w:after="160" w:line="276" w:lineRule="auto"/>
        <w:jc w:val="both"/>
        <w:rPr>
          <w:rFonts w:ascii="Arial" w:eastAsia="Calibri" w:hAnsi="Arial" w:cs="Arial"/>
          <w:kern w:val="2"/>
          <w:lang w:val="en-GB"/>
          <w14:ligatures w14:val="standardContextual"/>
        </w:rPr>
      </w:pPr>
    </w:p>
    <w:p w14:paraId="1C5A26CD"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498F365A"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1624F729"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232A98EB"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34392B9D"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67217F07" w14:textId="31735603" w:rsidR="009C35B6" w:rsidRDefault="009C35B6" w:rsidP="009C35B6">
      <w:pPr>
        <w:spacing w:after="160" w:line="276" w:lineRule="auto"/>
        <w:jc w:val="both"/>
        <w:rPr>
          <w:rFonts w:ascii="Arial" w:eastAsia="Calibri" w:hAnsi="Arial" w:cs="Arial"/>
          <w:kern w:val="2"/>
          <w:lang w:val="sr-Cyrl-RS"/>
          <w14:ligatures w14:val="standardContextual"/>
        </w:rPr>
      </w:pPr>
    </w:p>
    <w:p w14:paraId="30B77FC4" w14:textId="0AAD5168" w:rsidR="0042634A" w:rsidRDefault="0042634A" w:rsidP="009C35B6">
      <w:pPr>
        <w:spacing w:after="160" w:line="276" w:lineRule="auto"/>
        <w:jc w:val="both"/>
        <w:rPr>
          <w:rFonts w:ascii="Arial" w:eastAsia="Calibri" w:hAnsi="Arial" w:cs="Arial"/>
          <w:kern w:val="2"/>
          <w:lang w:val="sr-Cyrl-RS"/>
          <w14:ligatures w14:val="standardContextual"/>
        </w:rPr>
      </w:pPr>
    </w:p>
    <w:p w14:paraId="3618B608" w14:textId="77777777" w:rsidR="0042634A" w:rsidRPr="009C35B6" w:rsidRDefault="0042634A" w:rsidP="009C35B6">
      <w:pPr>
        <w:spacing w:after="160" w:line="276" w:lineRule="auto"/>
        <w:jc w:val="both"/>
        <w:rPr>
          <w:rFonts w:ascii="Arial" w:eastAsia="Calibri" w:hAnsi="Arial" w:cs="Arial"/>
          <w:kern w:val="2"/>
          <w:lang w:val="sr-Cyrl-RS"/>
          <w14:ligatures w14:val="standardContextual"/>
        </w:rPr>
      </w:pPr>
    </w:p>
    <w:p w14:paraId="0B1327F5"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78F09181"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2CBCA874" w14:textId="50CEEFAB" w:rsidR="009C35B6" w:rsidRDefault="009C35B6" w:rsidP="00696018">
      <w:pPr>
        <w:pStyle w:val="Heading1"/>
        <w:numPr>
          <w:ilvl w:val="0"/>
          <w:numId w:val="18"/>
        </w:numPr>
        <w:jc w:val="center"/>
        <w:rPr>
          <w:rFonts w:eastAsia="Calibri"/>
        </w:rPr>
      </w:pPr>
      <w:bookmarkStart w:id="0" w:name="_Toc184988051"/>
      <w:r w:rsidRPr="009C35B6">
        <w:rPr>
          <w:rFonts w:eastAsia="Calibri"/>
        </w:rPr>
        <w:lastRenderedPageBreak/>
        <w:t>УВОДНЕ НАПОМЕНЕ</w:t>
      </w:r>
      <w:bookmarkEnd w:id="0"/>
    </w:p>
    <w:p w14:paraId="10EEB79C" w14:textId="77777777" w:rsidR="009C35B6" w:rsidRPr="009C35B6" w:rsidRDefault="009C35B6" w:rsidP="009C35B6">
      <w:pPr>
        <w:spacing w:after="160" w:line="276" w:lineRule="auto"/>
        <w:ind w:left="720"/>
        <w:contextualSpacing/>
        <w:rPr>
          <w:rFonts w:ascii="Arial" w:eastAsia="Calibri" w:hAnsi="Arial" w:cs="Arial"/>
          <w:b/>
          <w:bCs/>
          <w:kern w:val="2"/>
          <w:lang w:val="sr-Cyrl-RS"/>
          <w14:ligatures w14:val="standardContextual"/>
        </w:rPr>
      </w:pPr>
    </w:p>
    <w:p w14:paraId="5C97390A"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Закон о јавним набавкама („Службени гласник РС“, бр. 91/19 и 92/23, у даљем тексту: ЗЈН) у члану 132. прописује да у поступку јавне набавке наручилац додељује уговор економски најповољнијој понуди коју одређује на основу једног од следећих критеријума:</w:t>
      </w:r>
    </w:p>
    <w:p w14:paraId="307418BD" w14:textId="77777777" w:rsidR="009C35B6" w:rsidRPr="009C35B6" w:rsidRDefault="009C35B6" w:rsidP="00341D3C">
      <w:pPr>
        <w:numPr>
          <w:ilvl w:val="0"/>
          <w:numId w:val="15"/>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цена или</w:t>
      </w:r>
    </w:p>
    <w:p w14:paraId="70E5D7E9" w14:textId="77777777" w:rsidR="009C35B6" w:rsidRPr="009C35B6" w:rsidRDefault="009C35B6" w:rsidP="00341D3C">
      <w:pPr>
        <w:numPr>
          <w:ilvl w:val="0"/>
          <w:numId w:val="15"/>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трошкови, применом приступа трошковне ефикасности, као што је трошак животног циклуса или</w:t>
      </w:r>
    </w:p>
    <w:p w14:paraId="3C98E9E6" w14:textId="77777777" w:rsidR="009C35B6" w:rsidRPr="009C35B6" w:rsidRDefault="009C35B6" w:rsidP="00341D3C">
      <w:pPr>
        <w:numPr>
          <w:ilvl w:val="0"/>
          <w:numId w:val="15"/>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однос цене и квалитета, односно трошка и квалитета који се оцењује на основу елемената критеријума, укључујући квалитативне, еколошке и/или социјалне аспекте, повезане са предметом уговора о јавној набавци.</w:t>
      </w:r>
    </w:p>
    <w:p w14:paraId="5151F7E4"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Наручилац приликом спровођења сваког конкретног поступка јавне набавке има слободу да бира врсту критеријума за доделу уговора који ће применити. </w:t>
      </w:r>
    </w:p>
    <w:p w14:paraId="509FCFC7"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Међутим, од овог правила постоје одређени изузеци и то:</w:t>
      </w:r>
    </w:p>
    <w:p w14:paraId="1DF2D8FE" w14:textId="77777777" w:rsidR="009C35B6" w:rsidRPr="009C35B6" w:rsidRDefault="009C35B6" w:rsidP="00341D3C">
      <w:pPr>
        <w:numPr>
          <w:ilvl w:val="0"/>
          <w:numId w:val="16"/>
        </w:numPr>
        <w:spacing w:before="240"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Наручилац може да одреди елемент цене или трошка у виду унапред прописане цене или трошка, тако да се економски најповољнија понуда утврђује на основу критеријума за квалитет</w:t>
      </w:r>
      <w:r w:rsidRPr="009C35B6">
        <w:rPr>
          <w:rFonts w:ascii="Arial" w:eastAsia="Calibri" w:hAnsi="Arial" w:cs="Arial"/>
          <w:kern w:val="2"/>
          <w:vertAlign w:val="superscript"/>
          <w:lang w:val="sr-Cyrl-RS"/>
          <w14:ligatures w14:val="standardContextual"/>
        </w:rPr>
        <w:footnoteReference w:id="1"/>
      </w:r>
      <w:r w:rsidRPr="009C35B6">
        <w:rPr>
          <w:rFonts w:ascii="Arial" w:eastAsia="Calibri" w:hAnsi="Arial" w:cs="Arial"/>
          <w:kern w:val="2"/>
          <w:lang w:val="sr-Cyrl-RS"/>
          <w14:ligatures w14:val="standardContextual"/>
        </w:rPr>
        <w:t xml:space="preserve">. </w:t>
      </w:r>
    </w:p>
    <w:p w14:paraId="087B37A2" w14:textId="77777777" w:rsidR="009C35B6" w:rsidRPr="009C35B6" w:rsidRDefault="009C35B6" w:rsidP="00341D3C">
      <w:pPr>
        <w:numPr>
          <w:ilvl w:val="0"/>
          <w:numId w:val="16"/>
        </w:numPr>
        <w:spacing w:before="240"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Приликом спровођења конкурентног дијалога и партнерства за иновације, наручилац може као критеријум за доделу уговора да користи само критеријум који се заснива на односу цене и квалитета.</w:t>
      </w:r>
    </w:p>
    <w:p w14:paraId="7A11ED88" w14:textId="77777777" w:rsidR="009C35B6" w:rsidRPr="009C35B6" w:rsidRDefault="009C35B6" w:rsidP="00341D3C">
      <w:pPr>
        <w:numPr>
          <w:ilvl w:val="0"/>
          <w:numId w:val="16"/>
        </w:numPr>
        <w:spacing w:before="240"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случају доделе уговора о јавној набавци услуга развоја рачунарског програма, архитектонских услуга, инжењерских услуга, услуга превођења или саветодавних услуга, наручилац одређује економски најповољнију понуду  на основу критеријума трошкова применом приступа трошковне ефикасности или на основу односа цене и квалитета, односно трошка и квалитета</w:t>
      </w:r>
      <w:r w:rsidRPr="009C35B6">
        <w:rPr>
          <w:rFonts w:ascii="Arial" w:eastAsia="Calibri" w:hAnsi="Arial" w:cs="Arial"/>
          <w:kern w:val="2"/>
          <w:vertAlign w:val="superscript"/>
          <w:lang w:val="sr-Cyrl-RS"/>
          <w14:ligatures w14:val="standardContextual"/>
        </w:rPr>
        <w:footnoteReference w:id="2"/>
      </w:r>
      <w:r w:rsidRPr="009C35B6">
        <w:rPr>
          <w:rFonts w:ascii="Arial" w:eastAsia="Calibri" w:hAnsi="Arial" w:cs="Arial"/>
          <w:kern w:val="2"/>
          <w:lang w:val="sr-Cyrl-RS"/>
          <w14:ligatures w14:val="standardContextual"/>
        </w:rPr>
        <w:t>.</w:t>
      </w:r>
    </w:p>
    <w:p w14:paraId="1CD276A4"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Имајући у виду нова законска решења која су у примени од 01. јануара 2024. године, а која се односе на обавезну примену критеријума за доделу уговора који није заснован само на цени, у оквиру ове анализе дат је упоредни приказ података у вези са применом критеријума за доделу уговора, као показатељ промена у поступању наручилаца приликом спровођења поступака јавних набавки.</w:t>
      </w:r>
    </w:p>
    <w:p w14:paraId="511E2B59" w14:textId="2CD6A6C9" w:rsid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lastRenderedPageBreak/>
        <w:t xml:space="preserve">Поред наведеног, анализа садржи и примере добре праксе у вези са поступцима јавних набавки које су спровели наручиоци у Републици Србији, а у којима је критеријум за доделу уговора дефинисан на основу односа цене и квалитета. </w:t>
      </w:r>
    </w:p>
    <w:p w14:paraId="41C93447" w14:textId="5EE757AA"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6C1B06B9" w14:textId="63DDCB9C"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ED908CC" w14:textId="77334DE0"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063F8D6E" w14:textId="4F215C99"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DEA36CB" w14:textId="2D44E217"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6A245C0" w14:textId="5A5AB5D5"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64FE9979" w14:textId="1652A2C8"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7B3B94BD" w14:textId="37C61ECE"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698A053" w14:textId="684B61AC"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2EEEF54D" w14:textId="20456171"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20B7F70E" w14:textId="4C8DA71B"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71509A89" w14:textId="3C4570E8"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F0946ED" w14:textId="31F2D95A"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C8910B6" w14:textId="4152E6BE"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246ACB96" w14:textId="3010F4B0"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1587CA73" w14:textId="156E4E55"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3BFE154" w14:textId="3334342D"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74C261F5" w14:textId="6034FC5F"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6BC2B8D4" w14:textId="28398192"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12C8EE3" w14:textId="657273ED"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72D646A7" w14:textId="216162AA"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3012E01C" w14:textId="5F2C6F88"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6BF9AAF" w14:textId="3F9E0317"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2BE96931" w14:textId="34753C7E"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0D71D0E6" w14:textId="4E08770F" w:rsidR="009C35B6" w:rsidRPr="00696018" w:rsidRDefault="009C35B6" w:rsidP="00696018">
      <w:pPr>
        <w:pStyle w:val="Heading1"/>
        <w:numPr>
          <w:ilvl w:val="0"/>
          <w:numId w:val="18"/>
        </w:numPr>
        <w:jc w:val="center"/>
        <w:rPr>
          <w:rFonts w:eastAsia="Calibri"/>
          <w:lang w:val="ru-RU"/>
        </w:rPr>
      </w:pPr>
      <w:bookmarkStart w:id="1" w:name="_Toc184988052"/>
      <w:r w:rsidRPr="00696018">
        <w:rPr>
          <w:rFonts w:eastAsia="Calibri"/>
          <w:lang w:val="ru-RU"/>
        </w:rPr>
        <w:lastRenderedPageBreak/>
        <w:t>СТАТИСТИЧКИ ПОДАЦИ У ВЕЗИ СА ПРИМЕНОМ КРИТЕРИЈУМА ЗА ДОДЕЛУ УГОВОРА</w:t>
      </w:r>
      <w:bookmarkEnd w:id="1"/>
    </w:p>
    <w:p w14:paraId="6267B9AE"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404B35E8"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оквиру овог дела анализе приказани су статистички подаци у погледу примене критеријума за доделу уговора који није заснован само на цени</w:t>
      </w:r>
      <w:r w:rsidRPr="009C35B6">
        <w:rPr>
          <w:rFonts w:ascii="Arial" w:eastAsia="Calibri" w:hAnsi="Arial" w:cs="Arial"/>
          <w:kern w:val="2"/>
          <w:vertAlign w:val="superscript"/>
          <w:lang w:val="sr-Cyrl-RS"/>
          <w14:ligatures w14:val="standardContextual"/>
        </w:rPr>
        <w:footnoteReference w:id="3"/>
      </w:r>
      <w:r w:rsidRPr="009C35B6">
        <w:rPr>
          <w:rFonts w:ascii="Arial" w:eastAsia="Calibri" w:hAnsi="Arial" w:cs="Arial"/>
          <w:kern w:val="2"/>
          <w:lang w:val="sr-Cyrl-RS"/>
          <w14:ligatures w14:val="standardContextual"/>
        </w:rPr>
        <w:t>, за период од 2020. до 2024. године.</w:t>
      </w:r>
      <w:r w:rsidRPr="009C35B6">
        <w:rPr>
          <w:rFonts w:ascii="Arial" w:eastAsia="Calibri" w:hAnsi="Arial" w:cs="Arial"/>
          <w:kern w:val="2"/>
          <w:vertAlign w:val="superscript"/>
          <w:lang w:val="sr-Cyrl-RS"/>
          <w14:ligatures w14:val="standardContextual"/>
        </w:rPr>
        <w:footnoteReference w:id="4"/>
      </w:r>
    </w:p>
    <w:p w14:paraId="205FDC20"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Статистички подаци приказани су по више различитих основа и то:</w:t>
      </w:r>
    </w:p>
    <w:p w14:paraId="188C7F1C" w14:textId="77777777"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Према примени врсте критеријума за доделу уговора;</w:t>
      </w:r>
    </w:p>
    <w:p w14:paraId="60F51396" w14:textId="77777777"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Према врсти предмета набавке;</w:t>
      </w:r>
    </w:p>
    <w:p w14:paraId="34FD4719" w14:textId="77777777"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Према врсти и делатности наручиоца;</w:t>
      </w:r>
    </w:p>
    <w:p w14:paraId="739D493E" w14:textId="77777777"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Према </w:t>
      </w:r>
      <w:r w:rsidRPr="009C35B6">
        <w:rPr>
          <w:rFonts w:ascii="Arial" w:eastAsia="Calibri" w:hAnsi="Arial" w:cs="Arial"/>
          <w:kern w:val="2"/>
          <w:lang w:val="de-DE"/>
          <w14:ligatures w14:val="standardContextual"/>
        </w:rPr>
        <w:t>CPV</w:t>
      </w:r>
      <w:r w:rsidRPr="009C35B6">
        <w:rPr>
          <w:rFonts w:ascii="Arial" w:eastAsia="Calibri" w:hAnsi="Arial" w:cs="Arial"/>
          <w:kern w:val="2"/>
          <w:lang w:val="sr-Cyrl-RS"/>
          <w14:ligatures w14:val="standardContextual"/>
        </w:rPr>
        <w:t xml:space="preserve"> ознаци;</w:t>
      </w:r>
    </w:p>
    <w:p w14:paraId="740FD472" w14:textId="4138E237" w:rsidR="009C35B6" w:rsidRPr="009C35B6" w:rsidRDefault="009C35B6" w:rsidP="00341D3C">
      <w:pPr>
        <w:numPr>
          <w:ilvl w:val="0"/>
          <w:numId w:val="12"/>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Према учешћу </w:t>
      </w:r>
      <w:r w:rsidR="0042634A" w:rsidRPr="0042634A">
        <w:rPr>
          <w:rFonts w:ascii="Arial" w:eastAsia="Calibri" w:hAnsi="Arial" w:cs="Arial"/>
          <w:bCs/>
          <w:kern w:val="2"/>
          <w:lang w:val="sr-Cyrl-RS"/>
          <w14:ligatures w14:val="standardContextual"/>
        </w:rPr>
        <w:t>набавки услуга из члана 132. став 3. ЗЈН у односу на укупан број поступака јавних набавки у којима је примењен критеријум за доделу уговора који није заснован само на цени</w:t>
      </w:r>
      <w:r w:rsidRPr="009C35B6">
        <w:rPr>
          <w:rFonts w:ascii="Arial" w:eastAsia="Calibri" w:hAnsi="Arial" w:cs="Arial"/>
          <w:kern w:val="2"/>
          <w:lang w:val="sr-Cyrl-RS"/>
          <w14:ligatures w14:val="standardContextual"/>
        </w:rPr>
        <w:t>.</w:t>
      </w:r>
    </w:p>
    <w:p w14:paraId="1E55FC3F" w14:textId="72B6360D" w:rsidR="009C35B6" w:rsidRDefault="009C35B6" w:rsidP="009C35B6">
      <w:pPr>
        <w:spacing w:line="276" w:lineRule="auto"/>
        <w:jc w:val="both"/>
        <w:rPr>
          <w:rFonts w:ascii="Arial" w:eastAsia="Calibri" w:hAnsi="Arial" w:cs="Arial"/>
          <w:kern w:val="2"/>
          <w:lang w:val="sr-Cyrl-RS"/>
          <w14:ligatures w14:val="standardContextual"/>
        </w:rPr>
      </w:pPr>
    </w:p>
    <w:p w14:paraId="53447D25" w14:textId="0581C7FE" w:rsidR="009C35B6" w:rsidRDefault="009C35B6" w:rsidP="009C35B6">
      <w:pPr>
        <w:spacing w:line="276" w:lineRule="auto"/>
        <w:jc w:val="both"/>
        <w:rPr>
          <w:rFonts w:ascii="Arial" w:eastAsia="Calibri" w:hAnsi="Arial" w:cs="Arial"/>
          <w:kern w:val="2"/>
          <w:lang w:val="sr-Cyrl-RS"/>
          <w14:ligatures w14:val="standardContextual"/>
        </w:rPr>
      </w:pPr>
    </w:p>
    <w:p w14:paraId="5EE1FCB1" w14:textId="1EA7EC97" w:rsidR="009C35B6" w:rsidRDefault="009C35B6" w:rsidP="009C35B6">
      <w:pPr>
        <w:spacing w:line="276" w:lineRule="auto"/>
        <w:jc w:val="both"/>
        <w:rPr>
          <w:rFonts w:ascii="Arial" w:eastAsia="Calibri" w:hAnsi="Arial" w:cs="Arial"/>
          <w:kern w:val="2"/>
          <w:lang w:val="sr-Cyrl-RS"/>
          <w14:ligatures w14:val="standardContextual"/>
        </w:rPr>
      </w:pPr>
    </w:p>
    <w:p w14:paraId="2B2C31FA" w14:textId="5986047B" w:rsidR="009C35B6" w:rsidRDefault="009C35B6" w:rsidP="009C35B6">
      <w:pPr>
        <w:spacing w:line="276" w:lineRule="auto"/>
        <w:jc w:val="both"/>
        <w:rPr>
          <w:rFonts w:ascii="Arial" w:eastAsia="Calibri" w:hAnsi="Arial" w:cs="Arial"/>
          <w:kern w:val="2"/>
          <w:lang w:val="sr-Cyrl-RS"/>
          <w14:ligatures w14:val="standardContextual"/>
        </w:rPr>
      </w:pPr>
    </w:p>
    <w:p w14:paraId="0566D986" w14:textId="55B3A04D" w:rsidR="009C35B6" w:rsidRDefault="009C35B6" w:rsidP="009C35B6">
      <w:pPr>
        <w:spacing w:line="276" w:lineRule="auto"/>
        <w:jc w:val="both"/>
        <w:rPr>
          <w:rFonts w:ascii="Arial" w:eastAsia="Calibri" w:hAnsi="Arial" w:cs="Arial"/>
          <w:kern w:val="2"/>
          <w:lang w:val="sr-Cyrl-RS"/>
          <w14:ligatures w14:val="standardContextual"/>
        </w:rPr>
      </w:pPr>
    </w:p>
    <w:p w14:paraId="671993C5" w14:textId="5B46D8B0" w:rsidR="009C35B6" w:rsidRDefault="009C35B6" w:rsidP="009C35B6">
      <w:pPr>
        <w:spacing w:line="276" w:lineRule="auto"/>
        <w:jc w:val="both"/>
        <w:rPr>
          <w:rFonts w:ascii="Arial" w:eastAsia="Calibri" w:hAnsi="Arial" w:cs="Arial"/>
          <w:kern w:val="2"/>
          <w:lang w:val="sr-Cyrl-RS"/>
          <w14:ligatures w14:val="standardContextual"/>
        </w:rPr>
      </w:pPr>
    </w:p>
    <w:p w14:paraId="47F3B5E6" w14:textId="3E4B3352" w:rsidR="009C35B6" w:rsidRDefault="009C35B6" w:rsidP="009C35B6">
      <w:pPr>
        <w:spacing w:line="276" w:lineRule="auto"/>
        <w:jc w:val="both"/>
        <w:rPr>
          <w:rFonts w:ascii="Arial" w:eastAsia="Calibri" w:hAnsi="Arial" w:cs="Arial"/>
          <w:kern w:val="2"/>
          <w:lang w:val="sr-Cyrl-RS"/>
          <w14:ligatures w14:val="standardContextual"/>
        </w:rPr>
      </w:pPr>
    </w:p>
    <w:p w14:paraId="65FC945F" w14:textId="77777777" w:rsidR="0042634A" w:rsidRDefault="0042634A" w:rsidP="009C35B6">
      <w:pPr>
        <w:spacing w:line="276" w:lineRule="auto"/>
        <w:jc w:val="both"/>
        <w:rPr>
          <w:rFonts w:ascii="Arial" w:eastAsia="Calibri" w:hAnsi="Arial" w:cs="Arial"/>
          <w:kern w:val="2"/>
          <w:lang w:val="sr-Cyrl-RS"/>
          <w14:ligatures w14:val="standardContextual"/>
        </w:rPr>
      </w:pPr>
    </w:p>
    <w:p w14:paraId="7604CD1A" w14:textId="313D67A4" w:rsidR="009C35B6" w:rsidRDefault="009C35B6" w:rsidP="009C35B6">
      <w:pPr>
        <w:spacing w:line="276" w:lineRule="auto"/>
        <w:jc w:val="both"/>
        <w:rPr>
          <w:rFonts w:ascii="Arial" w:eastAsia="Calibri" w:hAnsi="Arial" w:cs="Arial"/>
          <w:kern w:val="2"/>
          <w:lang w:val="sr-Cyrl-RS"/>
          <w14:ligatures w14:val="standardContextual"/>
        </w:rPr>
      </w:pPr>
    </w:p>
    <w:p w14:paraId="1BBDC889" w14:textId="5AC2EDF5" w:rsidR="009C35B6" w:rsidRDefault="009C35B6" w:rsidP="009C35B6">
      <w:pPr>
        <w:spacing w:line="276" w:lineRule="auto"/>
        <w:jc w:val="both"/>
        <w:rPr>
          <w:rFonts w:ascii="Arial" w:eastAsia="Calibri" w:hAnsi="Arial" w:cs="Arial"/>
          <w:kern w:val="2"/>
          <w:lang w:val="sr-Cyrl-RS"/>
          <w14:ligatures w14:val="standardContextual"/>
        </w:rPr>
      </w:pPr>
    </w:p>
    <w:p w14:paraId="032FC712" w14:textId="5AF4A2B4" w:rsidR="009C35B6" w:rsidRDefault="009C35B6" w:rsidP="009C35B6">
      <w:pPr>
        <w:spacing w:line="276" w:lineRule="auto"/>
        <w:jc w:val="both"/>
        <w:rPr>
          <w:rFonts w:ascii="Arial" w:eastAsia="Calibri" w:hAnsi="Arial" w:cs="Arial"/>
          <w:kern w:val="2"/>
          <w:lang w:val="sr-Cyrl-RS"/>
          <w14:ligatures w14:val="standardContextual"/>
        </w:rPr>
      </w:pPr>
    </w:p>
    <w:p w14:paraId="7612B0D3" w14:textId="461692E7" w:rsidR="009C35B6" w:rsidRDefault="009C35B6" w:rsidP="009C35B6">
      <w:pPr>
        <w:spacing w:line="276" w:lineRule="auto"/>
        <w:jc w:val="both"/>
        <w:rPr>
          <w:rFonts w:ascii="Arial" w:eastAsia="Calibri" w:hAnsi="Arial" w:cs="Arial"/>
          <w:kern w:val="2"/>
          <w:lang w:val="sr-Cyrl-RS"/>
          <w14:ligatures w14:val="standardContextual"/>
        </w:rPr>
      </w:pPr>
    </w:p>
    <w:p w14:paraId="6B0E7252" w14:textId="24449BCB" w:rsidR="009C35B6" w:rsidRDefault="009C35B6" w:rsidP="009C35B6">
      <w:pPr>
        <w:spacing w:line="276" w:lineRule="auto"/>
        <w:jc w:val="both"/>
        <w:rPr>
          <w:rFonts w:ascii="Arial" w:eastAsia="Calibri" w:hAnsi="Arial" w:cs="Arial"/>
          <w:kern w:val="2"/>
          <w:lang w:val="sr-Cyrl-RS"/>
          <w14:ligatures w14:val="standardContextual"/>
        </w:rPr>
      </w:pPr>
    </w:p>
    <w:p w14:paraId="771972B7" w14:textId="2652CA9F" w:rsidR="009C35B6" w:rsidRDefault="009C35B6" w:rsidP="009C35B6">
      <w:pPr>
        <w:spacing w:line="276" w:lineRule="auto"/>
        <w:jc w:val="both"/>
        <w:rPr>
          <w:rFonts w:ascii="Arial" w:eastAsia="Calibri" w:hAnsi="Arial" w:cs="Arial"/>
          <w:kern w:val="2"/>
          <w:lang w:val="sr-Cyrl-RS"/>
          <w14:ligatures w14:val="standardContextual"/>
        </w:rPr>
      </w:pPr>
    </w:p>
    <w:p w14:paraId="5133FE37" w14:textId="52AC769F" w:rsidR="009C35B6" w:rsidRDefault="009C35B6" w:rsidP="009C35B6">
      <w:pPr>
        <w:spacing w:line="276" w:lineRule="auto"/>
        <w:jc w:val="both"/>
        <w:rPr>
          <w:rFonts w:ascii="Arial" w:eastAsia="Calibri" w:hAnsi="Arial" w:cs="Arial"/>
          <w:kern w:val="2"/>
          <w:lang w:val="sr-Cyrl-RS"/>
          <w14:ligatures w14:val="standardContextual"/>
        </w:rPr>
      </w:pPr>
    </w:p>
    <w:p w14:paraId="3D4F8828" w14:textId="2F272A91" w:rsidR="009C35B6" w:rsidRDefault="009C35B6" w:rsidP="009C35B6">
      <w:pPr>
        <w:spacing w:line="276" w:lineRule="auto"/>
        <w:jc w:val="both"/>
        <w:rPr>
          <w:rFonts w:ascii="Arial" w:eastAsia="Calibri" w:hAnsi="Arial" w:cs="Arial"/>
          <w:kern w:val="2"/>
          <w:lang w:val="sr-Cyrl-RS"/>
          <w14:ligatures w14:val="standardContextual"/>
        </w:rPr>
      </w:pPr>
    </w:p>
    <w:p w14:paraId="0C98D3D2" w14:textId="5E02DC47" w:rsidR="009C35B6" w:rsidRDefault="009C35B6" w:rsidP="009C35B6">
      <w:pPr>
        <w:spacing w:line="276" w:lineRule="auto"/>
        <w:jc w:val="both"/>
        <w:rPr>
          <w:rFonts w:ascii="Arial" w:eastAsia="Calibri" w:hAnsi="Arial" w:cs="Arial"/>
          <w:kern w:val="2"/>
          <w:lang w:val="sr-Cyrl-RS"/>
          <w14:ligatures w14:val="standardContextual"/>
        </w:rPr>
      </w:pPr>
    </w:p>
    <w:p w14:paraId="2EC98A74" w14:textId="04D144E2" w:rsidR="009C35B6" w:rsidRDefault="009C35B6" w:rsidP="009C35B6">
      <w:pPr>
        <w:spacing w:line="276" w:lineRule="auto"/>
        <w:jc w:val="both"/>
        <w:rPr>
          <w:rFonts w:ascii="Arial" w:eastAsia="Calibri" w:hAnsi="Arial" w:cs="Arial"/>
          <w:kern w:val="2"/>
          <w:lang w:val="sr-Cyrl-RS"/>
          <w14:ligatures w14:val="standardContextual"/>
        </w:rPr>
      </w:pPr>
    </w:p>
    <w:p w14:paraId="6B4C432D" w14:textId="67BA1493" w:rsidR="009C35B6" w:rsidRDefault="009C35B6" w:rsidP="009C35B6">
      <w:pPr>
        <w:spacing w:line="276" w:lineRule="auto"/>
        <w:jc w:val="both"/>
        <w:rPr>
          <w:rFonts w:ascii="Arial" w:eastAsia="Calibri" w:hAnsi="Arial" w:cs="Arial"/>
          <w:kern w:val="2"/>
          <w:lang w:val="sr-Cyrl-RS"/>
          <w14:ligatures w14:val="standardContextual"/>
        </w:rPr>
      </w:pPr>
    </w:p>
    <w:p w14:paraId="68B435B9"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63BAC6D7" w14:textId="755BEDCB" w:rsidR="009C35B6" w:rsidRDefault="009C35B6" w:rsidP="00341D3C">
      <w:pPr>
        <w:numPr>
          <w:ilvl w:val="0"/>
          <w:numId w:val="13"/>
        </w:numPr>
        <w:spacing w:after="160" w:line="276" w:lineRule="auto"/>
        <w:contextualSpacing/>
        <w:jc w:val="center"/>
        <w:rPr>
          <w:rFonts w:ascii="Arial" w:eastAsia="Calibri" w:hAnsi="Arial" w:cs="Arial"/>
          <w:b/>
          <w:i/>
          <w:kern w:val="2"/>
          <w:lang w:val="sr-Cyrl-RS"/>
          <w14:ligatures w14:val="standardContextual"/>
        </w:rPr>
      </w:pPr>
      <w:r w:rsidRPr="009C35B6">
        <w:rPr>
          <w:rFonts w:ascii="Arial" w:eastAsia="Calibri" w:hAnsi="Arial" w:cs="Arial"/>
          <w:b/>
          <w:i/>
          <w:kern w:val="2"/>
          <w:lang w:val="sr-Cyrl-RS"/>
          <w14:ligatures w14:val="standardContextual"/>
        </w:rPr>
        <w:lastRenderedPageBreak/>
        <w:t xml:space="preserve">Примена врсте критеријума за доделу уговора </w:t>
      </w:r>
    </w:p>
    <w:p w14:paraId="62BE7EF4" w14:textId="77777777" w:rsidR="009C35B6" w:rsidRPr="009C35B6" w:rsidRDefault="009C35B6" w:rsidP="009C35B6">
      <w:pPr>
        <w:spacing w:after="160" w:line="276" w:lineRule="auto"/>
        <w:ind w:left="1080"/>
        <w:contextualSpacing/>
        <w:rPr>
          <w:rFonts w:ascii="Arial" w:eastAsia="Calibri" w:hAnsi="Arial" w:cs="Arial"/>
          <w:b/>
          <w:i/>
          <w:kern w:val="2"/>
          <w:lang w:val="sr-Cyrl-RS"/>
          <w14:ligatures w14:val="standardContextual"/>
        </w:rPr>
      </w:pPr>
    </w:p>
    <w:p w14:paraId="0F6B0AAA"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Calibri" w:eastAsia="Calibri" w:hAnsi="Calibri" w:cs="Times New Roman"/>
          <w:noProof/>
          <w:kern w:val="2"/>
          <w:sz w:val="22"/>
          <w:szCs w:val="22"/>
          <w14:ligatures w14:val="standardContextual"/>
        </w:rPr>
        <w:drawing>
          <wp:inline distT="0" distB="0" distL="0" distR="0" wp14:anchorId="23CFF0B9" wp14:editId="7B52BE9F">
            <wp:extent cx="5731510" cy="4004310"/>
            <wp:effectExtent l="0" t="0" r="2540" b="15240"/>
            <wp:docPr id="20276950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84C618" w14:textId="647DF0BE"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4E899080" w14:textId="0E79526C"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5F5BBD7E" w14:textId="41193A5F"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7FE11F48" w14:textId="7A7A0603"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3645A0D8" w14:textId="28384CC5"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12E5F44A" w14:textId="1AD982BE"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5796DEB" w14:textId="3E7AA15E"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018D7A8E" w14:textId="2BA3402D"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30E1C6BB" w14:textId="6091C4BE"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5335962F" w14:textId="49CF7379"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368DC019" w14:textId="770F626F"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44036FC" w14:textId="4E8A225C"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45501D5" w14:textId="77777777"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4AB82D48" w14:textId="16ADF894"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B25FBF1" w14:textId="6B3F0C8A"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6CD0E89D" w14:textId="2578D130"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6FDE58C" w14:textId="77777777" w:rsidR="009C35B6" w:rsidRP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38B0523F" w14:textId="77777777" w:rsidR="009C35B6" w:rsidRPr="009C35B6" w:rsidRDefault="009C35B6" w:rsidP="00341D3C">
      <w:pPr>
        <w:numPr>
          <w:ilvl w:val="0"/>
          <w:numId w:val="13"/>
        </w:numPr>
        <w:spacing w:after="160" w:line="276" w:lineRule="auto"/>
        <w:contextualSpacing/>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lastRenderedPageBreak/>
        <w:t>Примена критеријума за доделу уговора који није заснован само на цени према врсти предмета набавке</w:t>
      </w:r>
    </w:p>
    <w:p w14:paraId="5F501852" w14:textId="77777777" w:rsidR="009C35B6" w:rsidRPr="009C35B6" w:rsidRDefault="009C35B6" w:rsidP="009C35B6">
      <w:pPr>
        <w:spacing w:after="160" w:line="276" w:lineRule="auto"/>
        <w:ind w:left="720"/>
        <w:contextualSpacing/>
        <w:jc w:val="both"/>
        <w:rPr>
          <w:rFonts w:ascii="Arial" w:eastAsia="Calibri" w:hAnsi="Arial" w:cs="Arial"/>
          <w:kern w:val="2"/>
          <w:lang w:val="sr-Cyrl-RS"/>
          <w14:ligatures w14:val="standardContextual"/>
        </w:rPr>
      </w:pPr>
    </w:p>
    <w:p w14:paraId="1EC1EF09" w14:textId="77777777" w:rsidR="009C35B6" w:rsidRPr="009C35B6" w:rsidRDefault="009C35B6" w:rsidP="009C35B6">
      <w:pPr>
        <w:spacing w:after="160" w:line="276" w:lineRule="auto"/>
        <w:ind w:left="720"/>
        <w:contextualSpacing/>
        <w:jc w:val="both"/>
        <w:rPr>
          <w:rFonts w:ascii="Arial" w:eastAsia="Calibri" w:hAnsi="Arial" w:cs="Arial"/>
          <w:kern w:val="2"/>
          <w:lang w:val="sr-Cyrl-RS"/>
          <w14:ligatures w14:val="standardContextual"/>
        </w:rPr>
      </w:pPr>
      <w:r w:rsidRPr="009C35B6">
        <w:rPr>
          <w:rFonts w:ascii="Arial" w:eastAsia="Calibri" w:hAnsi="Arial" w:cs="Arial"/>
          <w:noProof/>
          <w:color w:val="FF0000"/>
          <w:kern w:val="2"/>
          <w:shd w:val="clear" w:color="auto" w:fill="FF0000"/>
          <w14:ligatures w14:val="standardContextual"/>
        </w:rPr>
        <w:drawing>
          <wp:inline distT="0" distB="0" distL="0" distR="0" wp14:anchorId="3067DCAA" wp14:editId="1B8925D3">
            <wp:extent cx="5486400" cy="3200400"/>
            <wp:effectExtent l="0" t="0" r="0" b="0"/>
            <wp:docPr id="97082517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FBFFAB" w14:textId="6C341D1F" w:rsidR="009C35B6" w:rsidRDefault="009C35B6" w:rsidP="009C35B6">
      <w:pPr>
        <w:spacing w:line="276" w:lineRule="auto"/>
        <w:jc w:val="both"/>
        <w:rPr>
          <w:rFonts w:ascii="Arial" w:eastAsia="Calibri" w:hAnsi="Arial" w:cs="Arial"/>
          <w:kern w:val="2"/>
          <w:lang w:val="sr-Cyrl-RS"/>
          <w14:ligatures w14:val="standardContextual"/>
        </w:rPr>
      </w:pPr>
    </w:p>
    <w:p w14:paraId="264E18D0" w14:textId="1D1AA26E" w:rsidR="009C35B6" w:rsidRDefault="009C35B6" w:rsidP="009C35B6">
      <w:pPr>
        <w:spacing w:line="276" w:lineRule="auto"/>
        <w:jc w:val="both"/>
        <w:rPr>
          <w:rFonts w:ascii="Arial" w:eastAsia="Calibri" w:hAnsi="Arial" w:cs="Arial"/>
          <w:kern w:val="2"/>
          <w:lang w:val="sr-Cyrl-RS"/>
          <w14:ligatures w14:val="standardContextual"/>
        </w:rPr>
      </w:pPr>
    </w:p>
    <w:p w14:paraId="21D618A6" w14:textId="2D7C651C" w:rsidR="009C35B6" w:rsidRDefault="009C35B6" w:rsidP="009C35B6">
      <w:pPr>
        <w:spacing w:line="276" w:lineRule="auto"/>
        <w:jc w:val="both"/>
        <w:rPr>
          <w:rFonts w:ascii="Arial" w:eastAsia="Calibri" w:hAnsi="Arial" w:cs="Arial"/>
          <w:kern w:val="2"/>
          <w:lang w:val="sr-Cyrl-RS"/>
          <w14:ligatures w14:val="standardContextual"/>
        </w:rPr>
      </w:pPr>
    </w:p>
    <w:p w14:paraId="183F9D9E" w14:textId="5B8E83F3" w:rsidR="009C35B6" w:rsidRDefault="009C35B6" w:rsidP="009C35B6">
      <w:pPr>
        <w:spacing w:line="276" w:lineRule="auto"/>
        <w:jc w:val="both"/>
        <w:rPr>
          <w:rFonts w:ascii="Arial" w:eastAsia="Calibri" w:hAnsi="Arial" w:cs="Arial"/>
          <w:kern w:val="2"/>
          <w:lang w:val="sr-Cyrl-RS"/>
          <w14:ligatures w14:val="standardContextual"/>
        </w:rPr>
      </w:pPr>
    </w:p>
    <w:p w14:paraId="0568DB0C" w14:textId="22A7FFB4" w:rsidR="009C35B6" w:rsidRDefault="009C35B6" w:rsidP="009C35B6">
      <w:pPr>
        <w:spacing w:line="276" w:lineRule="auto"/>
        <w:jc w:val="both"/>
        <w:rPr>
          <w:rFonts w:ascii="Arial" w:eastAsia="Calibri" w:hAnsi="Arial" w:cs="Arial"/>
          <w:kern w:val="2"/>
          <w:lang w:val="sr-Cyrl-RS"/>
          <w14:ligatures w14:val="standardContextual"/>
        </w:rPr>
      </w:pPr>
    </w:p>
    <w:p w14:paraId="2209538A" w14:textId="5AD6A2FB" w:rsidR="009C35B6" w:rsidRDefault="009C35B6" w:rsidP="009C35B6">
      <w:pPr>
        <w:spacing w:line="276" w:lineRule="auto"/>
        <w:jc w:val="both"/>
        <w:rPr>
          <w:rFonts w:ascii="Arial" w:eastAsia="Calibri" w:hAnsi="Arial" w:cs="Arial"/>
          <w:kern w:val="2"/>
          <w:lang w:val="sr-Cyrl-RS"/>
          <w14:ligatures w14:val="standardContextual"/>
        </w:rPr>
      </w:pPr>
    </w:p>
    <w:p w14:paraId="77376CD1" w14:textId="245694E0" w:rsidR="009C35B6" w:rsidRDefault="009C35B6" w:rsidP="009C35B6">
      <w:pPr>
        <w:spacing w:line="276" w:lineRule="auto"/>
        <w:jc w:val="both"/>
        <w:rPr>
          <w:rFonts w:ascii="Arial" w:eastAsia="Calibri" w:hAnsi="Arial" w:cs="Arial"/>
          <w:kern w:val="2"/>
          <w:lang w:val="sr-Cyrl-RS"/>
          <w14:ligatures w14:val="standardContextual"/>
        </w:rPr>
      </w:pPr>
    </w:p>
    <w:p w14:paraId="289A0E19" w14:textId="391B9BD1" w:rsidR="009C35B6" w:rsidRDefault="009C35B6" w:rsidP="009C35B6">
      <w:pPr>
        <w:spacing w:line="276" w:lineRule="auto"/>
        <w:jc w:val="both"/>
        <w:rPr>
          <w:rFonts w:ascii="Arial" w:eastAsia="Calibri" w:hAnsi="Arial" w:cs="Arial"/>
          <w:kern w:val="2"/>
          <w:lang w:val="sr-Cyrl-RS"/>
          <w14:ligatures w14:val="standardContextual"/>
        </w:rPr>
      </w:pPr>
    </w:p>
    <w:p w14:paraId="73356662" w14:textId="62A5A60D" w:rsidR="009C35B6" w:rsidRDefault="009C35B6" w:rsidP="009C35B6">
      <w:pPr>
        <w:spacing w:line="276" w:lineRule="auto"/>
        <w:jc w:val="both"/>
        <w:rPr>
          <w:rFonts w:ascii="Arial" w:eastAsia="Calibri" w:hAnsi="Arial" w:cs="Arial"/>
          <w:kern w:val="2"/>
          <w:lang w:val="sr-Cyrl-RS"/>
          <w14:ligatures w14:val="standardContextual"/>
        </w:rPr>
      </w:pPr>
    </w:p>
    <w:p w14:paraId="07E022A8" w14:textId="3C9E4A05" w:rsidR="009C35B6" w:rsidRDefault="009C35B6" w:rsidP="009C35B6">
      <w:pPr>
        <w:spacing w:line="276" w:lineRule="auto"/>
        <w:jc w:val="both"/>
        <w:rPr>
          <w:rFonts w:ascii="Arial" w:eastAsia="Calibri" w:hAnsi="Arial" w:cs="Arial"/>
          <w:kern w:val="2"/>
          <w:lang w:val="sr-Cyrl-RS"/>
          <w14:ligatures w14:val="standardContextual"/>
        </w:rPr>
      </w:pPr>
    </w:p>
    <w:p w14:paraId="1F8A6421" w14:textId="1B301650" w:rsidR="009C35B6" w:rsidRDefault="009C35B6" w:rsidP="009C35B6">
      <w:pPr>
        <w:spacing w:line="276" w:lineRule="auto"/>
        <w:jc w:val="both"/>
        <w:rPr>
          <w:rFonts w:ascii="Arial" w:eastAsia="Calibri" w:hAnsi="Arial" w:cs="Arial"/>
          <w:kern w:val="2"/>
          <w:lang w:val="sr-Cyrl-RS"/>
          <w14:ligatures w14:val="standardContextual"/>
        </w:rPr>
      </w:pPr>
    </w:p>
    <w:p w14:paraId="1ED4CA1D" w14:textId="645A8636" w:rsidR="009C35B6" w:rsidRDefault="009C35B6" w:rsidP="009C35B6">
      <w:pPr>
        <w:spacing w:line="276" w:lineRule="auto"/>
        <w:jc w:val="both"/>
        <w:rPr>
          <w:rFonts w:ascii="Arial" w:eastAsia="Calibri" w:hAnsi="Arial" w:cs="Arial"/>
          <w:kern w:val="2"/>
          <w:lang w:val="sr-Cyrl-RS"/>
          <w14:ligatures w14:val="standardContextual"/>
        </w:rPr>
      </w:pPr>
    </w:p>
    <w:p w14:paraId="7FDBB0FC" w14:textId="2A21BEEA" w:rsidR="009C35B6" w:rsidRDefault="009C35B6" w:rsidP="009C35B6">
      <w:pPr>
        <w:spacing w:line="276" w:lineRule="auto"/>
        <w:jc w:val="both"/>
        <w:rPr>
          <w:rFonts w:ascii="Arial" w:eastAsia="Calibri" w:hAnsi="Arial" w:cs="Arial"/>
          <w:kern w:val="2"/>
          <w:lang w:val="sr-Cyrl-RS"/>
          <w14:ligatures w14:val="standardContextual"/>
        </w:rPr>
      </w:pPr>
    </w:p>
    <w:p w14:paraId="6BA5EB26" w14:textId="573B1055" w:rsidR="009C35B6" w:rsidRDefault="009C35B6" w:rsidP="009C35B6">
      <w:pPr>
        <w:spacing w:line="276" w:lineRule="auto"/>
        <w:jc w:val="both"/>
        <w:rPr>
          <w:rFonts w:ascii="Arial" w:eastAsia="Calibri" w:hAnsi="Arial" w:cs="Arial"/>
          <w:kern w:val="2"/>
          <w:lang w:val="sr-Cyrl-RS"/>
          <w14:ligatures w14:val="standardContextual"/>
        </w:rPr>
      </w:pPr>
    </w:p>
    <w:p w14:paraId="0FEE6CB7" w14:textId="48CD682B" w:rsidR="009C35B6" w:rsidRDefault="009C35B6" w:rsidP="009C35B6">
      <w:pPr>
        <w:spacing w:line="276" w:lineRule="auto"/>
        <w:jc w:val="both"/>
        <w:rPr>
          <w:rFonts w:ascii="Arial" w:eastAsia="Calibri" w:hAnsi="Arial" w:cs="Arial"/>
          <w:kern w:val="2"/>
          <w:lang w:val="sr-Cyrl-RS"/>
          <w14:ligatures w14:val="standardContextual"/>
        </w:rPr>
      </w:pPr>
    </w:p>
    <w:p w14:paraId="0B222299" w14:textId="37960D6B" w:rsidR="009C35B6" w:rsidRDefault="009C35B6" w:rsidP="009C35B6">
      <w:pPr>
        <w:spacing w:line="276" w:lineRule="auto"/>
        <w:jc w:val="both"/>
        <w:rPr>
          <w:rFonts w:ascii="Arial" w:eastAsia="Calibri" w:hAnsi="Arial" w:cs="Arial"/>
          <w:kern w:val="2"/>
          <w:lang w:val="sr-Cyrl-RS"/>
          <w14:ligatures w14:val="standardContextual"/>
        </w:rPr>
      </w:pPr>
    </w:p>
    <w:p w14:paraId="128D8070" w14:textId="598515DD" w:rsidR="009C35B6" w:rsidRDefault="009C35B6" w:rsidP="009C35B6">
      <w:pPr>
        <w:spacing w:line="276" w:lineRule="auto"/>
        <w:jc w:val="both"/>
        <w:rPr>
          <w:rFonts w:ascii="Arial" w:eastAsia="Calibri" w:hAnsi="Arial" w:cs="Arial"/>
          <w:kern w:val="2"/>
          <w:lang w:val="sr-Cyrl-RS"/>
          <w14:ligatures w14:val="standardContextual"/>
        </w:rPr>
      </w:pPr>
    </w:p>
    <w:p w14:paraId="61A49C92" w14:textId="03176C5A" w:rsidR="009C35B6" w:rsidRDefault="009C35B6" w:rsidP="009C35B6">
      <w:pPr>
        <w:spacing w:line="276" w:lineRule="auto"/>
        <w:jc w:val="both"/>
        <w:rPr>
          <w:rFonts w:ascii="Arial" w:eastAsia="Calibri" w:hAnsi="Arial" w:cs="Arial"/>
          <w:kern w:val="2"/>
          <w:lang w:val="sr-Cyrl-RS"/>
          <w14:ligatures w14:val="standardContextual"/>
        </w:rPr>
      </w:pPr>
    </w:p>
    <w:p w14:paraId="34A46DF8" w14:textId="231BA28F" w:rsidR="009C35B6" w:rsidRDefault="009C35B6" w:rsidP="009C35B6">
      <w:pPr>
        <w:spacing w:line="276" w:lineRule="auto"/>
        <w:jc w:val="both"/>
        <w:rPr>
          <w:rFonts w:ascii="Arial" w:eastAsia="Calibri" w:hAnsi="Arial" w:cs="Arial"/>
          <w:kern w:val="2"/>
          <w:lang w:val="sr-Cyrl-RS"/>
          <w14:ligatures w14:val="standardContextual"/>
        </w:rPr>
      </w:pPr>
    </w:p>
    <w:p w14:paraId="7637FBCC"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2E8BFCF8" w14:textId="77777777" w:rsidR="009C35B6" w:rsidRPr="009C35B6" w:rsidRDefault="009C35B6" w:rsidP="00341D3C">
      <w:pPr>
        <w:numPr>
          <w:ilvl w:val="0"/>
          <w:numId w:val="13"/>
        </w:numPr>
        <w:spacing w:after="160" w:line="276" w:lineRule="auto"/>
        <w:contextualSpacing/>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lastRenderedPageBreak/>
        <w:t>Примена критеријума за доделу уговора који није заснован само на цени према врсти и делатности наручиоца</w:t>
      </w:r>
    </w:p>
    <w:p w14:paraId="4B747243" w14:textId="77777777" w:rsidR="009C35B6" w:rsidRP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tbl>
      <w:tblPr>
        <w:tblStyle w:val="GridTable4-Accent51"/>
        <w:tblW w:w="9188" w:type="dxa"/>
        <w:tblLayout w:type="fixed"/>
        <w:tblLook w:val="04A0" w:firstRow="1" w:lastRow="0" w:firstColumn="1" w:lastColumn="0" w:noHBand="0" w:noVBand="1"/>
      </w:tblPr>
      <w:tblGrid>
        <w:gridCol w:w="4379"/>
        <w:gridCol w:w="2969"/>
        <w:gridCol w:w="1840"/>
      </w:tblGrid>
      <w:tr w:rsidR="009C35B6" w:rsidRPr="009C35B6" w14:paraId="1C0235D3" w14:textId="77777777" w:rsidTr="00CB0AB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188" w:type="dxa"/>
            <w:gridSpan w:val="3"/>
            <w:vAlign w:val="center"/>
            <w:hideMark/>
          </w:tcPr>
          <w:p w14:paraId="4D5048B5" w14:textId="77777777"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2020. година</w:t>
            </w:r>
          </w:p>
        </w:tc>
      </w:tr>
      <w:tr w:rsidR="009C35B6" w:rsidRPr="00A04BA4" w14:paraId="252B3F77" w14:textId="77777777" w:rsidTr="00CB0AB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1BD7B2FA" w14:textId="77777777" w:rsidR="009C35B6" w:rsidRPr="009C35B6" w:rsidRDefault="009C35B6" w:rsidP="009C35B6">
            <w:pPr>
              <w:autoSpaceDE w:val="0"/>
              <w:autoSpaceDN w:val="0"/>
              <w:adjustRightInd w:val="0"/>
              <w:spacing w:before="240"/>
              <w:jc w:val="center"/>
              <w:rPr>
                <w:rFonts w:ascii="Arial" w:eastAsia="Calibri" w:hAnsi="Arial" w:cs="Arial"/>
                <w:color w:val="000000"/>
              </w:rPr>
            </w:pPr>
            <w:proofErr w:type="spellStart"/>
            <w:r w:rsidRPr="009C35B6">
              <w:rPr>
                <w:rFonts w:ascii="Arial" w:eastAsia="Calibri" w:hAnsi="Arial" w:cs="Arial"/>
                <w:color w:val="000000"/>
              </w:rPr>
              <w:t>Врста</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наручиоца</w:t>
            </w:r>
            <w:proofErr w:type="spellEnd"/>
          </w:p>
        </w:tc>
        <w:tc>
          <w:tcPr>
            <w:tcW w:w="2969" w:type="dxa"/>
            <w:vAlign w:val="center"/>
            <w:hideMark/>
          </w:tcPr>
          <w:p w14:paraId="3CF9D3B2" w14:textId="77777777" w:rsidR="009C35B6" w:rsidRPr="009C35B6" w:rsidRDefault="009C35B6" w:rsidP="009C35B6">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p w14:paraId="573B3A51"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39" w:type="dxa"/>
            <w:vAlign w:val="center"/>
            <w:hideMark/>
          </w:tcPr>
          <w:p w14:paraId="1639096C"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 ЕНП која није заснована само на цени</w:t>
            </w:r>
          </w:p>
        </w:tc>
      </w:tr>
      <w:tr w:rsidR="009C35B6" w:rsidRPr="009C35B6" w14:paraId="6C74A441" w14:textId="77777777" w:rsidTr="00CB0AB0">
        <w:trPr>
          <w:trHeight w:val="62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072E79CC"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Cyrl-RS"/>
              </w:rPr>
              <w:t>Правна лица основана у циљу задовољавања потреба у општем интересу</w:t>
            </w:r>
          </w:p>
        </w:tc>
        <w:tc>
          <w:tcPr>
            <w:tcW w:w="2969" w:type="dxa"/>
            <w:vAlign w:val="center"/>
            <w:hideMark/>
          </w:tcPr>
          <w:p w14:paraId="1D03381D"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39" w:type="dxa"/>
            <w:vAlign w:val="center"/>
            <w:hideMark/>
          </w:tcPr>
          <w:p w14:paraId="1F8C826F"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20,98</w:t>
            </w:r>
          </w:p>
        </w:tc>
      </w:tr>
      <w:tr w:rsidR="009C35B6" w:rsidRPr="009C35B6" w14:paraId="294545D7" w14:textId="77777777" w:rsidTr="00CB0AB0">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51CE39D6"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69" w:type="dxa"/>
            <w:vAlign w:val="center"/>
            <w:hideMark/>
          </w:tcPr>
          <w:p w14:paraId="6F8DBA0E"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39" w:type="dxa"/>
            <w:vAlign w:val="center"/>
            <w:hideMark/>
          </w:tcPr>
          <w:p w14:paraId="2B2799D5"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7,37</w:t>
            </w:r>
          </w:p>
        </w:tc>
      </w:tr>
      <w:tr w:rsidR="009C35B6" w:rsidRPr="009C35B6" w14:paraId="515AAA0D" w14:textId="77777777" w:rsidTr="00CB0AB0">
        <w:trPr>
          <w:trHeight w:val="708"/>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61950B31"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 аутономне покрајине или органи јединице локалне самоуправе</w:t>
            </w:r>
          </w:p>
        </w:tc>
        <w:tc>
          <w:tcPr>
            <w:tcW w:w="2969" w:type="dxa"/>
            <w:vAlign w:val="center"/>
            <w:hideMark/>
          </w:tcPr>
          <w:p w14:paraId="2DDB3895"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Опште јавне услуге</w:t>
            </w:r>
          </w:p>
        </w:tc>
        <w:tc>
          <w:tcPr>
            <w:tcW w:w="1839" w:type="dxa"/>
            <w:vAlign w:val="center"/>
            <w:hideMark/>
          </w:tcPr>
          <w:p w14:paraId="4E16878A"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4,91</w:t>
            </w:r>
          </w:p>
        </w:tc>
      </w:tr>
      <w:tr w:rsidR="009C35B6" w:rsidRPr="009C35B6" w14:paraId="298B98A3" w14:textId="77777777" w:rsidTr="00CB0AB0">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1E3A844D" w14:textId="77777777"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Социјална заштита</w:t>
            </w:r>
          </w:p>
        </w:tc>
        <w:tc>
          <w:tcPr>
            <w:tcW w:w="2969" w:type="dxa"/>
            <w:vAlign w:val="center"/>
            <w:hideMark/>
          </w:tcPr>
          <w:p w14:paraId="45F22DB4"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Министарство или други државни органи, укључујући њихове подручне или локалне јединице</w:t>
            </w:r>
          </w:p>
        </w:tc>
        <w:tc>
          <w:tcPr>
            <w:tcW w:w="1839" w:type="dxa"/>
            <w:vAlign w:val="center"/>
            <w:hideMark/>
          </w:tcPr>
          <w:p w14:paraId="76D020EA"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4,16</w:t>
            </w:r>
          </w:p>
        </w:tc>
      </w:tr>
      <w:tr w:rsidR="009C35B6" w:rsidRPr="009C35B6" w14:paraId="16AAD4B3" w14:textId="77777777" w:rsidTr="00CB0AB0">
        <w:trPr>
          <w:trHeight w:val="30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6B6B60C8"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69" w:type="dxa"/>
            <w:vAlign w:val="center"/>
            <w:hideMark/>
          </w:tcPr>
          <w:p w14:paraId="116CC202"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Просвета</w:t>
            </w:r>
            <w:proofErr w:type="spellEnd"/>
          </w:p>
        </w:tc>
        <w:tc>
          <w:tcPr>
            <w:tcW w:w="1839" w:type="dxa"/>
            <w:vAlign w:val="center"/>
            <w:hideMark/>
          </w:tcPr>
          <w:p w14:paraId="145B8931"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Cyrl-RS"/>
              </w:rPr>
              <w:t>2,46</w:t>
            </w:r>
          </w:p>
        </w:tc>
      </w:tr>
    </w:tbl>
    <w:p w14:paraId="32AE9DD6" w14:textId="4AFE4EF7" w:rsidR="009C35B6" w:rsidRDefault="009C35B6" w:rsidP="009C35B6">
      <w:pPr>
        <w:spacing w:after="160" w:line="276" w:lineRule="auto"/>
        <w:jc w:val="both"/>
        <w:rPr>
          <w:rFonts w:ascii="Arial" w:eastAsia="Calibri" w:hAnsi="Arial" w:cs="Arial"/>
          <w:kern w:val="2"/>
          <w:lang w:val="sr-Cyrl-RS"/>
          <w14:ligatures w14:val="standardContextual"/>
        </w:rPr>
      </w:pPr>
    </w:p>
    <w:p w14:paraId="19283D63" w14:textId="37C7C8C5" w:rsidR="00CB0AB0" w:rsidRDefault="00CB0AB0" w:rsidP="009C35B6">
      <w:pPr>
        <w:spacing w:after="160" w:line="276" w:lineRule="auto"/>
        <w:jc w:val="both"/>
        <w:rPr>
          <w:rFonts w:ascii="Arial" w:eastAsia="Calibri" w:hAnsi="Arial" w:cs="Arial"/>
          <w:kern w:val="2"/>
          <w:lang w:val="sr-Cyrl-RS"/>
          <w14:ligatures w14:val="standardContextual"/>
        </w:rPr>
      </w:pPr>
    </w:p>
    <w:p w14:paraId="066E0430" w14:textId="45A35804" w:rsidR="00CB0AB0" w:rsidRDefault="00CB0AB0" w:rsidP="009C35B6">
      <w:pPr>
        <w:spacing w:after="160" w:line="276" w:lineRule="auto"/>
        <w:jc w:val="both"/>
        <w:rPr>
          <w:rFonts w:ascii="Arial" w:eastAsia="Calibri" w:hAnsi="Arial" w:cs="Arial"/>
          <w:kern w:val="2"/>
          <w:lang w:val="sr-Cyrl-RS"/>
          <w14:ligatures w14:val="standardContextual"/>
        </w:rPr>
      </w:pPr>
    </w:p>
    <w:p w14:paraId="26745C3C" w14:textId="590327E9" w:rsidR="00CB0AB0" w:rsidRDefault="00CB0AB0" w:rsidP="009C35B6">
      <w:pPr>
        <w:spacing w:after="160" w:line="276" w:lineRule="auto"/>
        <w:jc w:val="both"/>
        <w:rPr>
          <w:rFonts w:ascii="Arial" w:eastAsia="Calibri" w:hAnsi="Arial" w:cs="Arial"/>
          <w:kern w:val="2"/>
          <w:lang w:val="sr-Cyrl-RS"/>
          <w14:ligatures w14:val="standardContextual"/>
        </w:rPr>
      </w:pPr>
    </w:p>
    <w:p w14:paraId="691F05BC" w14:textId="662BF34F" w:rsidR="00CB0AB0" w:rsidRDefault="00CB0AB0" w:rsidP="009C35B6">
      <w:pPr>
        <w:spacing w:after="160" w:line="276" w:lineRule="auto"/>
        <w:jc w:val="both"/>
        <w:rPr>
          <w:rFonts w:ascii="Arial" w:eastAsia="Calibri" w:hAnsi="Arial" w:cs="Arial"/>
          <w:kern w:val="2"/>
          <w:lang w:val="sr-Cyrl-RS"/>
          <w14:ligatures w14:val="standardContextual"/>
        </w:rPr>
      </w:pPr>
    </w:p>
    <w:p w14:paraId="3F21FAC3" w14:textId="159DD53F" w:rsidR="00CB0AB0" w:rsidRDefault="00CB0AB0" w:rsidP="009C35B6">
      <w:pPr>
        <w:spacing w:after="160" w:line="276" w:lineRule="auto"/>
        <w:jc w:val="both"/>
        <w:rPr>
          <w:rFonts w:ascii="Arial" w:eastAsia="Calibri" w:hAnsi="Arial" w:cs="Arial"/>
          <w:kern w:val="2"/>
          <w:lang w:val="sr-Cyrl-RS"/>
          <w14:ligatures w14:val="standardContextual"/>
        </w:rPr>
      </w:pPr>
    </w:p>
    <w:p w14:paraId="630A9386" w14:textId="27CA5A04" w:rsidR="00CB0AB0" w:rsidRDefault="00CB0AB0" w:rsidP="009C35B6">
      <w:pPr>
        <w:spacing w:after="160" w:line="276" w:lineRule="auto"/>
        <w:jc w:val="both"/>
        <w:rPr>
          <w:rFonts w:ascii="Arial" w:eastAsia="Calibri" w:hAnsi="Arial" w:cs="Arial"/>
          <w:kern w:val="2"/>
          <w:lang w:val="sr-Cyrl-RS"/>
          <w14:ligatures w14:val="standardContextual"/>
        </w:rPr>
      </w:pPr>
    </w:p>
    <w:p w14:paraId="18EC193B" w14:textId="3490B4BE" w:rsidR="00CB0AB0" w:rsidRDefault="00CB0AB0" w:rsidP="009C35B6">
      <w:pPr>
        <w:spacing w:after="160" w:line="276" w:lineRule="auto"/>
        <w:jc w:val="both"/>
        <w:rPr>
          <w:rFonts w:ascii="Arial" w:eastAsia="Calibri" w:hAnsi="Arial" w:cs="Arial"/>
          <w:kern w:val="2"/>
          <w:lang w:val="sr-Cyrl-RS"/>
          <w14:ligatures w14:val="standardContextual"/>
        </w:rPr>
      </w:pPr>
    </w:p>
    <w:p w14:paraId="2E729B5D" w14:textId="7DBF1D6B" w:rsidR="00CB0AB0" w:rsidRDefault="00CB0AB0" w:rsidP="009C35B6">
      <w:pPr>
        <w:spacing w:after="160" w:line="276" w:lineRule="auto"/>
        <w:jc w:val="both"/>
        <w:rPr>
          <w:rFonts w:ascii="Arial" w:eastAsia="Calibri" w:hAnsi="Arial" w:cs="Arial"/>
          <w:kern w:val="2"/>
          <w:lang w:val="sr-Cyrl-RS"/>
          <w14:ligatures w14:val="standardContextual"/>
        </w:rPr>
      </w:pPr>
    </w:p>
    <w:p w14:paraId="27D87B86" w14:textId="37077BA7" w:rsidR="00CB0AB0" w:rsidRDefault="00CB0AB0" w:rsidP="009C35B6">
      <w:pPr>
        <w:spacing w:after="160" w:line="276" w:lineRule="auto"/>
        <w:jc w:val="both"/>
        <w:rPr>
          <w:rFonts w:ascii="Arial" w:eastAsia="Calibri" w:hAnsi="Arial" w:cs="Arial"/>
          <w:kern w:val="2"/>
          <w:lang w:val="sr-Cyrl-RS"/>
          <w14:ligatures w14:val="standardContextual"/>
        </w:rPr>
      </w:pPr>
    </w:p>
    <w:p w14:paraId="351F8372" w14:textId="150274B9" w:rsidR="00CB0AB0" w:rsidRDefault="00CB0AB0" w:rsidP="009C35B6">
      <w:pPr>
        <w:spacing w:after="160" w:line="276" w:lineRule="auto"/>
        <w:jc w:val="both"/>
        <w:rPr>
          <w:rFonts w:ascii="Arial" w:eastAsia="Calibri" w:hAnsi="Arial" w:cs="Arial"/>
          <w:kern w:val="2"/>
          <w:lang w:val="sr-Cyrl-RS"/>
          <w14:ligatures w14:val="standardContextual"/>
        </w:rPr>
      </w:pPr>
    </w:p>
    <w:p w14:paraId="1A449B8D"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14:paraId="7B5640F2" w14:textId="77777777" w:rsidTr="009C35B6">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6FE9E72B"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Latn-RS"/>
              </w:rPr>
              <w:lastRenderedPageBreak/>
              <w:t>202</w:t>
            </w:r>
            <w:r w:rsidRPr="009C35B6">
              <w:rPr>
                <w:rFonts w:ascii="Arial" w:eastAsia="Calibri" w:hAnsi="Arial" w:cs="Arial"/>
                <w:color w:val="000000"/>
                <w:lang w:val="sr-Cyrl-RS"/>
              </w:rPr>
              <w:t>1. година</w:t>
            </w:r>
          </w:p>
        </w:tc>
      </w:tr>
      <w:tr w:rsidR="009C35B6" w:rsidRPr="00A04BA4" w14:paraId="7838C6B8" w14:textId="77777777" w:rsidTr="009C35B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7068C82" w14:textId="77777777"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Врста</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наручиоца</w:t>
            </w:r>
            <w:proofErr w:type="spellEnd"/>
          </w:p>
        </w:tc>
        <w:tc>
          <w:tcPr>
            <w:tcW w:w="2976" w:type="dxa"/>
            <w:vAlign w:val="center"/>
            <w:hideMark/>
          </w:tcPr>
          <w:p w14:paraId="1149362A"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p w14:paraId="40AFA20E"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43" w:type="dxa"/>
            <w:vAlign w:val="center"/>
            <w:hideMark/>
          </w:tcPr>
          <w:p w14:paraId="2CE8C0CA"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 ЕНП која није заснована само на цени</w:t>
            </w:r>
          </w:p>
        </w:tc>
      </w:tr>
      <w:tr w:rsidR="009C35B6" w:rsidRPr="009C35B6" w14:paraId="7B05CB75" w14:textId="77777777" w:rsidTr="0049567C">
        <w:trPr>
          <w:trHeight w:val="106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52C69AB"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Cyrl-RS"/>
              </w:rPr>
              <w:t>Правна лица основана у циљу задовољавања потреба у општем интересу</w:t>
            </w:r>
          </w:p>
        </w:tc>
        <w:tc>
          <w:tcPr>
            <w:tcW w:w="2976" w:type="dxa"/>
            <w:vAlign w:val="center"/>
            <w:hideMark/>
          </w:tcPr>
          <w:p w14:paraId="03DEA376"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43" w:type="dxa"/>
            <w:vAlign w:val="center"/>
            <w:hideMark/>
          </w:tcPr>
          <w:p w14:paraId="0F318D48"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17,13</w:t>
            </w:r>
          </w:p>
        </w:tc>
      </w:tr>
      <w:tr w:rsidR="009C35B6" w:rsidRPr="009C35B6" w14:paraId="64637789" w14:textId="77777777" w:rsidTr="009C35B6">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85B5293"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14:paraId="527B89AC"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43" w:type="dxa"/>
            <w:vAlign w:val="center"/>
            <w:hideMark/>
          </w:tcPr>
          <w:p w14:paraId="685D7522"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8,58</w:t>
            </w:r>
          </w:p>
        </w:tc>
      </w:tr>
      <w:tr w:rsidR="009C35B6" w:rsidRPr="009C35B6" w14:paraId="2FEEDC41" w14:textId="77777777" w:rsidTr="0049567C">
        <w:trPr>
          <w:trHeight w:val="99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6EDA8F8"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 аутономне покрајине или органи јединице локалне самоуправе</w:t>
            </w:r>
          </w:p>
        </w:tc>
        <w:tc>
          <w:tcPr>
            <w:tcW w:w="2976" w:type="dxa"/>
            <w:vAlign w:val="center"/>
            <w:hideMark/>
          </w:tcPr>
          <w:p w14:paraId="76782900"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Опште јавне услуге</w:t>
            </w:r>
          </w:p>
        </w:tc>
        <w:tc>
          <w:tcPr>
            <w:tcW w:w="1843" w:type="dxa"/>
            <w:vAlign w:val="center"/>
            <w:hideMark/>
          </w:tcPr>
          <w:p w14:paraId="7AC9EF50"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8,38</w:t>
            </w:r>
          </w:p>
        </w:tc>
      </w:tr>
      <w:tr w:rsidR="009C35B6" w:rsidRPr="009C35B6" w14:paraId="0A705D46" w14:textId="77777777" w:rsidTr="009C35B6">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9847DC1"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14:paraId="6AD954A4"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Просвета</w:t>
            </w:r>
            <w:proofErr w:type="spellEnd"/>
          </w:p>
        </w:tc>
        <w:tc>
          <w:tcPr>
            <w:tcW w:w="1843" w:type="dxa"/>
            <w:vAlign w:val="center"/>
            <w:hideMark/>
          </w:tcPr>
          <w:p w14:paraId="2E90F76A"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3,94</w:t>
            </w:r>
          </w:p>
        </w:tc>
      </w:tr>
      <w:tr w:rsidR="009C35B6" w:rsidRPr="009C35B6" w14:paraId="5325C8F2" w14:textId="77777777" w:rsidTr="0049567C">
        <w:trPr>
          <w:trHeight w:val="70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3B71003" w14:textId="77777777"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Министарство или други државни органи</w:t>
            </w:r>
          </w:p>
        </w:tc>
        <w:tc>
          <w:tcPr>
            <w:tcW w:w="2976" w:type="dxa"/>
            <w:vAlign w:val="center"/>
            <w:hideMark/>
          </w:tcPr>
          <w:p w14:paraId="70EE04CD"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Одбрана</w:t>
            </w:r>
          </w:p>
        </w:tc>
        <w:tc>
          <w:tcPr>
            <w:tcW w:w="1843" w:type="dxa"/>
            <w:vAlign w:val="center"/>
            <w:hideMark/>
          </w:tcPr>
          <w:p w14:paraId="763B11C6"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Cyrl-RS"/>
              </w:rPr>
              <w:t>3,12</w:t>
            </w:r>
          </w:p>
        </w:tc>
      </w:tr>
    </w:tbl>
    <w:p w14:paraId="6B9ADB08" w14:textId="5510287E" w:rsidR="009C35B6" w:rsidRDefault="009C35B6" w:rsidP="009C35B6">
      <w:pPr>
        <w:spacing w:after="160" w:line="276" w:lineRule="auto"/>
        <w:jc w:val="both"/>
        <w:rPr>
          <w:rFonts w:ascii="Arial" w:eastAsia="Calibri" w:hAnsi="Arial" w:cs="Arial"/>
          <w:kern w:val="2"/>
          <w:lang w:val="sr-Cyrl-RS"/>
          <w14:ligatures w14:val="standardContextual"/>
        </w:rPr>
      </w:pPr>
    </w:p>
    <w:p w14:paraId="67EE536C" w14:textId="3D03346B" w:rsidR="00CB0AB0" w:rsidRDefault="00CB0AB0" w:rsidP="009C35B6">
      <w:pPr>
        <w:spacing w:after="160" w:line="276" w:lineRule="auto"/>
        <w:jc w:val="both"/>
        <w:rPr>
          <w:rFonts w:ascii="Arial" w:eastAsia="Calibri" w:hAnsi="Arial" w:cs="Arial"/>
          <w:kern w:val="2"/>
          <w:lang w:val="sr-Cyrl-RS"/>
          <w14:ligatures w14:val="standardContextual"/>
        </w:rPr>
      </w:pPr>
    </w:p>
    <w:p w14:paraId="3EFED313" w14:textId="50F45073" w:rsidR="00CB0AB0" w:rsidRDefault="00CB0AB0" w:rsidP="009C35B6">
      <w:pPr>
        <w:spacing w:after="160" w:line="276" w:lineRule="auto"/>
        <w:jc w:val="both"/>
        <w:rPr>
          <w:rFonts w:ascii="Arial" w:eastAsia="Calibri" w:hAnsi="Arial" w:cs="Arial"/>
          <w:kern w:val="2"/>
          <w:lang w:val="sr-Cyrl-RS"/>
          <w14:ligatures w14:val="standardContextual"/>
        </w:rPr>
      </w:pPr>
    </w:p>
    <w:p w14:paraId="47BF2FBB" w14:textId="0C96FE9D" w:rsidR="00CB0AB0" w:rsidRDefault="00CB0AB0" w:rsidP="009C35B6">
      <w:pPr>
        <w:spacing w:after="160" w:line="276" w:lineRule="auto"/>
        <w:jc w:val="both"/>
        <w:rPr>
          <w:rFonts w:ascii="Arial" w:eastAsia="Calibri" w:hAnsi="Arial" w:cs="Arial"/>
          <w:kern w:val="2"/>
          <w:lang w:val="sr-Cyrl-RS"/>
          <w14:ligatures w14:val="standardContextual"/>
        </w:rPr>
      </w:pPr>
    </w:p>
    <w:p w14:paraId="17B2932C" w14:textId="38C4B30F" w:rsidR="00CB0AB0" w:rsidRDefault="00CB0AB0" w:rsidP="009C35B6">
      <w:pPr>
        <w:spacing w:after="160" w:line="276" w:lineRule="auto"/>
        <w:jc w:val="both"/>
        <w:rPr>
          <w:rFonts w:ascii="Arial" w:eastAsia="Calibri" w:hAnsi="Arial" w:cs="Arial"/>
          <w:kern w:val="2"/>
          <w:lang w:val="sr-Cyrl-RS"/>
          <w14:ligatures w14:val="standardContextual"/>
        </w:rPr>
      </w:pPr>
    </w:p>
    <w:p w14:paraId="6D162981" w14:textId="064318A7" w:rsidR="00CB0AB0" w:rsidRDefault="00CB0AB0" w:rsidP="009C35B6">
      <w:pPr>
        <w:spacing w:after="160" w:line="276" w:lineRule="auto"/>
        <w:jc w:val="both"/>
        <w:rPr>
          <w:rFonts w:ascii="Arial" w:eastAsia="Calibri" w:hAnsi="Arial" w:cs="Arial"/>
          <w:kern w:val="2"/>
          <w:lang w:val="sr-Cyrl-RS"/>
          <w14:ligatures w14:val="standardContextual"/>
        </w:rPr>
      </w:pPr>
    </w:p>
    <w:p w14:paraId="5715699A" w14:textId="6B8115DB" w:rsidR="00CB0AB0" w:rsidRDefault="00CB0AB0" w:rsidP="009C35B6">
      <w:pPr>
        <w:spacing w:after="160" w:line="276" w:lineRule="auto"/>
        <w:jc w:val="both"/>
        <w:rPr>
          <w:rFonts w:ascii="Arial" w:eastAsia="Calibri" w:hAnsi="Arial" w:cs="Arial"/>
          <w:kern w:val="2"/>
          <w:lang w:val="sr-Cyrl-RS"/>
          <w14:ligatures w14:val="standardContextual"/>
        </w:rPr>
      </w:pPr>
    </w:p>
    <w:p w14:paraId="52305563" w14:textId="2348A749" w:rsidR="00CB0AB0" w:rsidRDefault="00CB0AB0" w:rsidP="009C35B6">
      <w:pPr>
        <w:spacing w:after="160" w:line="276" w:lineRule="auto"/>
        <w:jc w:val="both"/>
        <w:rPr>
          <w:rFonts w:ascii="Arial" w:eastAsia="Calibri" w:hAnsi="Arial" w:cs="Arial"/>
          <w:kern w:val="2"/>
          <w:lang w:val="sr-Cyrl-RS"/>
          <w14:ligatures w14:val="standardContextual"/>
        </w:rPr>
      </w:pPr>
    </w:p>
    <w:p w14:paraId="354659B6" w14:textId="66EC6BD0" w:rsidR="00CB0AB0" w:rsidRDefault="00CB0AB0" w:rsidP="009C35B6">
      <w:pPr>
        <w:spacing w:after="160" w:line="276" w:lineRule="auto"/>
        <w:jc w:val="both"/>
        <w:rPr>
          <w:rFonts w:ascii="Arial" w:eastAsia="Calibri" w:hAnsi="Arial" w:cs="Arial"/>
          <w:kern w:val="2"/>
          <w:lang w:val="sr-Cyrl-RS"/>
          <w14:ligatures w14:val="standardContextual"/>
        </w:rPr>
      </w:pPr>
    </w:p>
    <w:p w14:paraId="16F0FC75" w14:textId="3611CB94" w:rsidR="00CB0AB0" w:rsidRDefault="00CB0AB0" w:rsidP="009C35B6">
      <w:pPr>
        <w:spacing w:after="160" w:line="276" w:lineRule="auto"/>
        <w:jc w:val="both"/>
        <w:rPr>
          <w:rFonts w:ascii="Arial" w:eastAsia="Calibri" w:hAnsi="Arial" w:cs="Arial"/>
          <w:kern w:val="2"/>
          <w:lang w:val="sr-Cyrl-RS"/>
          <w14:ligatures w14:val="standardContextual"/>
        </w:rPr>
      </w:pPr>
    </w:p>
    <w:p w14:paraId="63BBB3A5" w14:textId="32E7BAB3" w:rsidR="00CB0AB0" w:rsidRDefault="00CB0AB0" w:rsidP="009C35B6">
      <w:pPr>
        <w:spacing w:after="160" w:line="276" w:lineRule="auto"/>
        <w:jc w:val="both"/>
        <w:rPr>
          <w:rFonts w:ascii="Arial" w:eastAsia="Calibri" w:hAnsi="Arial" w:cs="Arial"/>
          <w:kern w:val="2"/>
          <w:lang w:val="sr-Cyrl-RS"/>
          <w14:ligatures w14:val="standardContextual"/>
        </w:rPr>
      </w:pPr>
    </w:p>
    <w:p w14:paraId="7EF2453B" w14:textId="2F56F154" w:rsidR="00CB0AB0" w:rsidRDefault="00CB0AB0" w:rsidP="009C35B6">
      <w:pPr>
        <w:spacing w:after="160" w:line="276" w:lineRule="auto"/>
        <w:jc w:val="both"/>
        <w:rPr>
          <w:rFonts w:ascii="Arial" w:eastAsia="Calibri" w:hAnsi="Arial" w:cs="Arial"/>
          <w:kern w:val="2"/>
          <w:lang w:val="sr-Cyrl-RS"/>
          <w14:ligatures w14:val="standardContextual"/>
        </w:rPr>
      </w:pPr>
    </w:p>
    <w:p w14:paraId="3574F7F6"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14:paraId="3C75C782" w14:textId="77777777" w:rsidTr="009C35B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2ED1AA0F"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Latn-RS"/>
              </w:rPr>
              <w:lastRenderedPageBreak/>
              <w:t>202</w:t>
            </w:r>
            <w:r w:rsidRPr="009C35B6">
              <w:rPr>
                <w:rFonts w:ascii="Arial" w:eastAsia="Calibri" w:hAnsi="Arial" w:cs="Arial"/>
                <w:color w:val="000000"/>
                <w:lang w:val="sr-Cyrl-RS"/>
              </w:rPr>
              <w:t>2.</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година</w:t>
            </w:r>
          </w:p>
        </w:tc>
      </w:tr>
      <w:tr w:rsidR="009C35B6" w:rsidRPr="00A04BA4" w14:paraId="451CACC7" w14:textId="77777777" w:rsidTr="009C35B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D7399B3" w14:textId="77777777"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Врста</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наручиоца</w:t>
            </w:r>
            <w:proofErr w:type="spellEnd"/>
          </w:p>
        </w:tc>
        <w:tc>
          <w:tcPr>
            <w:tcW w:w="2976" w:type="dxa"/>
            <w:vAlign w:val="center"/>
            <w:hideMark/>
          </w:tcPr>
          <w:p w14:paraId="26DC28D8"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p w14:paraId="67179E83"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p w14:paraId="102902B3"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p w14:paraId="10595137"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43" w:type="dxa"/>
            <w:vAlign w:val="center"/>
            <w:hideMark/>
          </w:tcPr>
          <w:p w14:paraId="4D8D69B2"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 ЕНП која није заснована само на цени</w:t>
            </w:r>
          </w:p>
        </w:tc>
      </w:tr>
      <w:tr w:rsidR="009C35B6" w:rsidRPr="009C35B6" w14:paraId="4F114707" w14:textId="77777777" w:rsidTr="0049567C">
        <w:trPr>
          <w:trHeight w:val="4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81D2355"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Cyrl-RS"/>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у</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у</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интересу</w:t>
            </w:r>
          </w:p>
        </w:tc>
        <w:tc>
          <w:tcPr>
            <w:tcW w:w="2976" w:type="dxa"/>
            <w:vAlign w:val="center"/>
            <w:hideMark/>
          </w:tcPr>
          <w:p w14:paraId="10E17A4E"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43" w:type="dxa"/>
            <w:vAlign w:val="center"/>
            <w:hideMark/>
          </w:tcPr>
          <w:p w14:paraId="351DB0B8"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27,22</w:t>
            </w:r>
          </w:p>
        </w:tc>
      </w:tr>
      <w:tr w:rsidR="009C35B6" w:rsidRPr="009C35B6" w14:paraId="039840EF" w14:textId="77777777" w:rsidTr="009C35B6">
        <w:trPr>
          <w:cnfStyle w:val="000000100000" w:firstRow="0" w:lastRow="0" w:firstColumn="0" w:lastColumn="0" w:oddVBand="0" w:evenVBand="0" w:oddHBand="1" w:evenHBand="0" w:firstRowFirstColumn="0" w:firstRowLastColumn="0" w:lastRowFirstColumn="0" w:lastRowLastColumn="0"/>
          <w:trHeight w:val="104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4DEBC9F"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аутономне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покрајине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или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органи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јединице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локалне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самоуправе</w:t>
            </w:r>
          </w:p>
        </w:tc>
        <w:tc>
          <w:tcPr>
            <w:tcW w:w="2976" w:type="dxa"/>
            <w:vAlign w:val="center"/>
            <w:hideMark/>
          </w:tcPr>
          <w:p w14:paraId="4FF6FAE0"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Опште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јавне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услуге</w:t>
            </w:r>
            <w:proofErr w:type="spellEnd"/>
          </w:p>
        </w:tc>
        <w:tc>
          <w:tcPr>
            <w:tcW w:w="1843" w:type="dxa"/>
            <w:vAlign w:val="center"/>
            <w:hideMark/>
          </w:tcPr>
          <w:p w14:paraId="5103386B"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9,47</w:t>
            </w:r>
          </w:p>
        </w:tc>
      </w:tr>
      <w:tr w:rsidR="009C35B6" w:rsidRPr="009C35B6" w14:paraId="372161EA" w14:textId="77777777" w:rsidTr="0049567C">
        <w:trPr>
          <w:trHeight w:val="98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2FFBF0F"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интересу</w:t>
            </w:r>
          </w:p>
        </w:tc>
        <w:tc>
          <w:tcPr>
            <w:tcW w:w="2976" w:type="dxa"/>
            <w:vAlign w:val="center"/>
            <w:hideMark/>
          </w:tcPr>
          <w:p w14:paraId="285158B3"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43" w:type="dxa"/>
            <w:vAlign w:val="center"/>
            <w:hideMark/>
          </w:tcPr>
          <w:p w14:paraId="53C491FC"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8,32</w:t>
            </w:r>
          </w:p>
        </w:tc>
      </w:tr>
      <w:tr w:rsidR="009C35B6" w:rsidRPr="009C35B6" w14:paraId="6E980862" w14:textId="77777777" w:rsidTr="009C35B6">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6B62108" w14:textId="77777777"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Секторски</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наручилац</w:t>
            </w:r>
            <w:proofErr w:type="spellEnd"/>
          </w:p>
        </w:tc>
        <w:tc>
          <w:tcPr>
            <w:tcW w:w="2976" w:type="dxa"/>
            <w:vAlign w:val="center"/>
            <w:hideMark/>
          </w:tcPr>
          <w:p w14:paraId="641DED45"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Водоснабдевање</w:t>
            </w:r>
            <w:proofErr w:type="spellEnd"/>
          </w:p>
        </w:tc>
        <w:tc>
          <w:tcPr>
            <w:tcW w:w="1843" w:type="dxa"/>
            <w:vAlign w:val="center"/>
            <w:hideMark/>
          </w:tcPr>
          <w:p w14:paraId="6B246733"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4,74</w:t>
            </w:r>
          </w:p>
        </w:tc>
      </w:tr>
      <w:tr w:rsidR="009C35B6" w:rsidRPr="009C35B6" w14:paraId="5DADAB4C" w14:textId="77777777" w:rsidTr="0049567C">
        <w:trPr>
          <w:trHeight w:val="9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986975A"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интересу</w:t>
            </w:r>
          </w:p>
        </w:tc>
        <w:tc>
          <w:tcPr>
            <w:tcW w:w="2976" w:type="dxa"/>
            <w:vAlign w:val="center"/>
            <w:hideMark/>
          </w:tcPr>
          <w:p w14:paraId="1B694C5C"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Просвета</w:t>
            </w:r>
            <w:proofErr w:type="spellEnd"/>
          </w:p>
        </w:tc>
        <w:tc>
          <w:tcPr>
            <w:tcW w:w="1843" w:type="dxa"/>
            <w:vAlign w:val="center"/>
            <w:hideMark/>
          </w:tcPr>
          <w:p w14:paraId="31A33825"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4,16</w:t>
            </w:r>
          </w:p>
        </w:tc>
      </w:tr>
    </w:tbl>
    <w:p w14:paraId="6A9163DD"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66B10CA5" w14:textId="0E1A8124" w:rsidR="009C35B6" w:rsidRDefault="009C35B6" w:rsidP="009C35B6">
      <w:pPr>
        <w:spacing w:after="160" w:line="276" w:lineRule="auto"/>
        <w:jc w:val="both"/>
        <w:rPr>
          <w:rFonts w:ascii="Arial" w:eastAsia="Calibri" w:hAnsi="Arial" w:cs="Arial"/>
          <w:kern w:val="2"/>
          <w:lang w:val="sr-Cyrl-RS"/>
          <w14:ligatures w14:val="standardContextual"/>
        </w:rPr>
      </w:pPr>
    </w:p>
    <w:p w14:paraId="29D8EB5E" w14:textId="01CA2BDA" w:rsidR="00CB0AB0" w:rsidRDefault="00CB0AB0" w:rsidP="009C35B6">
      <w:pPr>
        <w:spacing w:after="160" w:line="276" w:lineRule="auto"/>
        <w:jc w:val="both"/>
        <w:rPr>
          <w:rFonts w:ascii="Arial" w:eastAsia="Calibri" w:hAnsi="Arial" w:cs="Arial"/>
          <w:kern w:val="2"/>
          <w:lang w:val="sr-Cyrl-RS"/>
          <w14:ligatures w14:val="standardContextual"/>
        </w:rPr>
      </w:pPr>
    </w:p>
    <w:p w14:paraId="4400EE3C" w14:textId="72C05BCC" w:rsidR="00CB0AB0" w:rsidRDefault="00CB0AB0" w:rsidP="009C35B6">
      <w:pPr>
        <w:spacing w:after="160" w:line="276" w:lineRule="auto"/>
        <w:jc w:val="both"/>
        <w:rPr>
          <w:rFonts w:ascii="Arial" w:eastAsia="Calibri" w:hAnsi="Arial" w:cs="Arial"/>
          <w:kern w:val="2"/>
          <w:lang w:val="sr-Cyrl-RS"/>
          <w14:ligatures w14:val="standardContextual"/>
        </w:rPr>
      </w:pPr>
    </w:p>
    <w:p w14:paraId="588E9672" w14:textId="18F5562B" w:rsidR="00CB0AB0" w:rsidRDefault="00CB0AB0" w:rsidP="009C35B6">
      <w:pPr>
        <w:spacing w:after="160" w:line="276" w:lineRule="auto"/>
        <w:jc w:val="both"/>
        <w:rPr>
          <w:rFonts w:ascii="Arial" w:eastAsia="Calibri" w:hAnsi="Arial" w:cs="Arial"/>
          <w:kern w:val="2"/>
          <w:lang w:val="sr-Cyrl-RS"/>
          <w14:ligatures w14:val="standardContextual"/>
        </w:rPr>
      </w:pPr>
    </w:p>
    <w:p w14:paraId="16F76EB7" w14:textId="2D5F13B6" w:rsidR="00CB0AB0" w:rsidRDefault="00CB0AB0" w:rsidP="009C35B6">
      <w:pPr>
        <w:spacing w:after="160" w:line="276" w:lineRule="auto"/>
        <w:jc w:val="both"/>
        <w:rPr>
          <w:rFonts w:ascii="Arial" w:eastAsia="Calibri" w:hAnsi="Arial" w:cs="Arial"/>
          <w:kern w:val="2"/>
          <w:lang w:val="sr-Cyrl-RS"/>
          <w14:ligatures w14:val="standardContextual"/>
        </w:rPr>
      </w:pPr>
    </w:p>
    <w:p w14:paraId="3383ED8E" w14:textId="673D4284" w:rsidR="00CB0AB0" w:rsidRDefault="00CB0AB0" w:rsidP="009C35B6">
      <w:pPr>
        <w:spacing w:after="160" w:line="276" w:lineRule="auto"/>
        <w:jc w:val="both"/>
        <w:rPr>
          <w:rFonts w:ascii="Arial" w:eastAsia="Calibri" w:hAnsi="Arial" w:cs="Arial"/>
          <w:kern w:val="2"/>
          <w:lang w:val="sr-Cyrl-RS"/>
          <w14:ligatures w14:val="standardContextual"/>
        </w:rPr>
      </w:pPr>
    </w:p>
    <w:p w14:paraId="342DAB4E" w14:textId="571191A5" w:rsidR="00CB0AB0" w:rsidRDefault="00CB0AB0" w:rsidP="009C35B6">
      <w:pPr>
        <w:spacing w:after="160" w:line="276" w:lineRule="auto"/>
        <w:jc w:val="both"/>
        <w:rPr>
          <w:rFonts w:ascii="Arial" w:eastAsia="Calibri" w:hAnsi="Arial" w:cs="Arial"/>
          <w:kern w:val="2"/>
          <w:lang w:val="sr-Cyrl-RS"/>
          <w14:ligatures w14:val="standardContextual"/>
        </w:rPr>
      </w:pPr>
    </w:p>
    <w:p w14:paraId="580D5DA0" w14:textId="13CDB88A" w:rsidR="00CB0AB0" w:rsidRDefault="00CB0AB0" w:rsidP="009C35B6">
      <w:pPr>
        <w:spacing w:after="160" w:line="276" w:lineRule="auto"/>
        <w:jc w:val="both"/>
        <w:rPr>
          <w:rFonts w:ascii="Arial" w:eastAsia="Calibri" w:hAnsi="Arial" w:cs="Arial"/>
          <w:kern w:val="2"/>
          <w:lang w:val="sr-Cyrl-RS"/>
          <w14:ligatures w14:val="standardContextual"/>
        </w:rPr>
      </w:pPr>
    </w:p>
    <w:p w14:paraId="562D51CF" w14:textId="23A85D93" w:rsidR="00CB0AB0" w:rsidRDefault="00CB0AB0" w:rsidP="009C35B6">
      <w:pPr>
        <w:spacing w:after="160" w:line="276" w:lineRule="auto"/>
        <w:jc w:val="both"/>
        <w:rPr>
          <w:rFonts w:ascii="Arial" w:eastAsia="Calibri" w:hAnsi="Arial" w:cs="Arial"/>
          <w:kern w:val="2"/>
          <w:lang w:val="sr-Cyrl-RS"/>
          <w14:ligatures w14:val="standardContextual"/>
        </w:rPr>
      </w:pPr>
    </w:p>
    <w:p w14:paraId="0D1A8F0C" w14:textId="77777777" w:rsidR="00CB0AB0" w:rsidRDefault="00CB0AB0" w:rsidP="009C35B6">
      <w:pPr>
        <w:spacing w:after="160" w:line="276" w:lineRule="auto"/>
        <w:jc w:val="both"/>
        <w:rPr>
          <w:rFonts w:ascii="Arial" w:eastAsia="Calibri" w:hAnsi="Arial" w:cs="Arial"/>
          <w:kern w:val="2"/>
          <w:lang w:val="sr-Cyrl-RS"/>
          <w14:ligatures w14:val="standardContextual"/>
        </w:rPr>
      </w:pPr>
    </w:p>
    <w:p w14:paraId="1FBD0A49" w14:textId="324048B2" w:rsidR="00CB0AB0" w:rsidRDefault="00CB0AB0" w:rsidP="009C35B6">
      <w:pPr>
        <w:spacing w:after="160" w:line="276" w:lineRule="auto"/>
        <w:jc w:val="both"/>
        <w:rPr>
          <w:rFonts w:ascii="Arial" w:eastAsia="Calibri" w:hAnsi="Arial" w:cs="Arial"/>
          <w:kern w:val="2"/>
          <w:lang w:val="sr-Cyrl-RS"/>
          <w14:ligatures w14:val="standardContextual"/>
        </w:rPr>
      </w:pPr>
    </w:p>
    <w:p w14:paraId="673194A7" w14:textId="7420A926" w:rsidR="00CB0AB0" w:rsidRDefault="00CB0AB0" w:rsidP="009C35B6">
      <w:pPr>
        <w:spacing w:after="160" w:line="276" w:lineRule="auto"/>
        <w:jc w:val="both"/>
        <w:rPr>
          <w:rFonts w:ascii="Arial" w:eastAsia="Calibri" w:hAnsi="Arial" w:cs="Arial"/>
          <w:kern w:val="2"/>
          <w:lang w:val="sr-Cyrl-RS"/>
          <w14:ligatures w14:val="standardContextual"/>
        </w:rPr>
      </w:pPr>
    </w:p>
    <w:p w14:paraId="240618E2"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14:paraId="5889E5EB" w14:textId="77777777" w:rsidTr="009C35B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313EFD58"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Latn-RS"/>
              </w:rPr>
              <w:lastRenderedPageBreak/>
              <w:t>202</w:t>
            </w:r>
            <w:r w:rsidRPr="009C35B6">
              <w:rPr>
                <w:rFonts w:ascii="Arial" w:eastAsia="Calibri" w:hAnsi="Arial" w:cs="Arial"/>
                <w:color w:val="000000"/>
                <w:lang w:val="sr-Cyrl-RS"/>
              </w:rPr>
              <w:t>3.</w:t>
            </w:r>
            <w:r w:rsidRPr="009C35B6">
              <w:rPr>
                <w:rFonts w:ascii="Arial" w:eastAsia="Calibri" w:hAnsi="Arial" w:cs="Arial"/>
                <w:color w:val="000000"/>
                <w:lang w:val="sr-Latn-RS"/>
              </w:rPr>
              <w:t xml:space="preserve"> </w:t>
            </w:r>
            <w:r w:rsidRPr="009C35B6">
              <w:rPr>
                <w:rFonts w:ascii="Arial" w:eastAsia="Calibri" w:hAnsi="Arial" w:cs="Arial"/>
                <w:color w:val="000000"/>
                <w:lang w:val="sr-Cyrl-RS"/>
              </w:rPr>
              <w:t>година</w:t>
            </w:r>
          </w:p>
        </w:tc>
      </w:tr>
      <w:tr w:rsidR="009C35B6" w:rsidRPr="00A04BA4" w14:paraId="1EF41F3B"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D46571E" w14:textId="77777777"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Врста наручиоца</w:t>
            </w:r>
          </w:p>
        </w:tc>
        <w:tc>
          <w:tcPr>
            <w:tcW w:w="2976" w:type="dxa"/>
            <w:vAlign w:val="center"/>
            <w:hideMark/>
          </w:tcPr>
          <w:p w14:paraId="4E88DF35"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tc>
        <w:tc>
          <w:tcPr>
            <w:tcW w:w="1843" w:type="dxa"/>
            <w:vAlign w:val="center"/>
            <w:hideMark/>
          </w:tcPr>
          <w:p w14:paraId="73E7CEC4"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ru-RU"/>
              </w:rPr>
            </w:pPr>
            <w:r w:rsidRPr="009C35B6">
              <w:rPr>
                <w:rFonts w:ascii="Arial" w:eastAsia="Calibri" w:hAnsi="Arial" w:cs="Arial"/>
                <w:b/>
                <w:bCs/>
                <w:color w:val="000000"/>
                <w:lang w:val="ru-RU"/>
              </w:rPr>
              <w:t>% ЕНП која није заснована само на цени</w:t>
            </w:r>
          </w:p>
        </w:tc>
      </w:tr>
      <w:tr w:rsidR="009C35B6" w:rsidRPr="009C35B6" w14:paraId="21840B96" w14:textId="77777777" w:rsidTr="0049567C">
        <w:trPr>
          <w:trHeight w:val="101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65ECED0"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интересу</w:t>
            </w:r>
          </w:p>
        </w:tc>
        <w:tc>
          <w:tcPr>
            <w:tcW w:w="2976" w:type="dxa"/>
            <w:vAlign w:val="center"/>
            <w:hideMark/>
          </w:tcPr>
          <w:p w14:paraId="4E30B3C4"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43" w:type="dxa"/>
            <w:vAlign w:val="center"/>
            <w:hideMark/>
          </w:tcPr>
          <w:p w14:paraId="3D6D3481"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23</w:t>
            </w:r>
          </w:p>
        </w:tc>
      </w:tr>
      <w:tr w:rsidR="009C35B6" w:rsidRPr="009C35B6" w14:paraId="3B7E1399" w14:textId="77777777" w:rsidTr="009C35B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1BD4159"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аутономне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покрајине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или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органи</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јединица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локалне</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самоуправе</w:t>
            </w:r>
          </w:p>
        </w:tc>
        <w:tc>
          <w:tcPr>
            <w:tcW w:w="2976" w:type="dxa"/>
            <w:vAlign w:val="center"/>
            <w:hideMark/>
          </w:tcPr>
          <w:p w14:paraId="3480D497"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Опште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јавне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услуге</w:t>
            </w:r>
            <w:proofErr w:type="spellEnd"/>
          </w:p>
        </w:tc>
        <w:tc>
          <w:tcPr>
            <w:tcW w:w="1843" w:type="dxa"/>
            <w:vAlign w:val="center"/>
            <w:hideMark/>
          </w:tcPr>
          <w:p w14:paraId="4D6875DA"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9</w:t>
            </w:r>
          </w:p>
        </w:tc>
      </w:tr>
      <w:tr w:rsidR="009C35B6" w:rsidRPr="009C35B6" w14:paraId="3402E093" w14:textId="77777777" w:rsidTr="0049567C">
        <w:trPr>
          <w:trHeight w:val="99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EC2A188"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лица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основана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циљу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задовољавања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потреба</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у</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општем</w:t>
            </w:r>
            <w:r w:rsidRPr="009C35B6">
              <w:rPr>
                <w:rFonts w:ascii="Arial" w:eastAsia="Calibri" w:hAnsi="Arial" w:cs="Arial"/>
                <w:color w:val="000000"/>
                <w:lang w:val="sr-Latn-RS"/>
              </w:rPr>
              <w:t xml:space="preserve"> </w:t>
            </w:r>
            <w:r w:rsidRPr="009C35B6">
              <w:rPr>
                <w:rFonts w:ascii="Arial" w:eastAsia="Calibri" w:hAnsi="Arial" w:cs="Arial"/>
                <w:color w:val="000000"/>
                <w:lang w:val="ru-RU"/>
              </w:rPr>
              <w:t>интересу</w:t>
            </w:r>
          </w:p>
        </w:tc>
        <w:tc>
          <w:tcPr>
            <w:tcW w:w="2976" w:type="dxa"/>
            <w:vAlign w:val="center"/>
            <w:hideMark/>
          </w:tcPr>
          <w:p w14:paraId="3BBBCD27"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43" w:type="dxa"/>
            <w:vAlign w:val="center"/>
            <w:hideMark/>
          </w:tcPr>
          <w:p w14:paraId="2EBA16A1"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7</w:t>
            </w:r>
          </w:p>
        </w:tc>
      </w:tr>
      <w:tr w:rsidR="009C35B6" w:rsidRPr="009C35B6" w14:paraId="2800274E" w14:textId="77777777" w:rsidTr="009C35B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D6E492E" w14:textId="77777777"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Секторски</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наручилац</w:t>
            </w:r>
            <w:proofErr w:type="spellEnd"/>
          </w:p>
        </w:tc>
        <w:tc>
          <w:tcPr>
            <w:tcW w:w="2976" w:type="dxa"/>
            <w:vAlign w:val="center"/>
            <w:hideMark/>
          </w:tcPr>
          <w:p w14:paraId="3AFA6B7D"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Водоснабдевање</w:t>
            </w:r>
            <w:proofErr w:type="spellEnd"/>
          </w:p>
        </w:tc>
        <w:tc>
          <w:tcPr>
            <w:tcW w:w="1843" w:type="dxa"/>
            <w:vAlign w:val="center"/>
            <w:hideMark/>
          </w:tcPr>
          <w:p w14:paraId="33FA64F7"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6</w:t>
            </w:r>
          </w:p>
        </w:tc>
      </w:tr>
      <w:tr w:rsidR="009C35B6" w:rsidRPr="009C35B6" w14:paraId="7B9B4356" w14:textId="77777777" w:rsidTr="0049567C">
        <w:trPr>
          <w:trHeight w:val="274"/>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8F0B16E" w14:textId="77777777"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Секторски</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наручилац</w:t>
            </w:r>
            <w:proofErr w:type="spellEnd"/>
          </w:p>
        </w:tc>
        <w:tc>
          <w:tcPr>
            <w:tcW w:w="2976" w:type="dxa"/>
            <w:vAlign w:val="center"/>
            <w:hideMark/>
          </w:tcPr>
          <w:p w14:paraId="34D3977D"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ru-RU"/>
              </w:rPr>
            </w:pPr>
            <w:r w:rsidRPr="009C35B6">
              <w:rPr>
                <w:rFonts w:ascii="Arial" w:eastAsia="Calibri" w:hAnsi="Arial" w:cs="Arial"/>
                <w:color w:val="000000"/>
                <w:lang w:val="ru-RU"/>
              </w:rPr>
              <w:t>Производња, пренос и дистрибуција гаса и топлотне енергије</w:t>
            </w:r>
          </w:p>
        </w:tc>
        <w:tc>
          <w:tcPr>
            <w:tcW w:w="1843" w:type="dxa"/>
            <w:vAlign w:val="center"/>
            <w:hideMark/>
          </w:tcPr>
          <w:p w14:paraId="346757AC"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4</w:t>
            </w:r>
          </w:p>
        </w:tc>
      </w:tr>
    </w:tbl>
    <w:p w14:paraId="0E7342FD" w14:textId="4EEE6D24" w:rsidR="009C35B6" w:rsidRDefault="009C35B6" w:rsidP="009C35B6">
      <w:pPr>
        <w:spacing w:after="160" w:line="276" w:lineRule="auto"/>
        <w:jc w:val="both"/>
        <w:rPr>
          <w:rFonts w:ascii="Arial" w:eastAsia="Calibri" w:hAnsi="Arial" w:cs="Arial"/>
          <w:kern w:val="2"/>
          <w:lang w:val="sr-Cyrl-RS"/>
          <w14:ligatures w14:val="standardContextual"/>
        </w:rPr>
      </w:pPr>
    </w:p>
    <w:p w14:paraId="2BDDD73F" w14:textId="78974534" w:rsidR="00CB0AB0" w:rsidRDefault="00CB0AB0" w:rsidP="009C35B6">
      <w:pPr>
        <w:spacing w:after="160" w:line="276" w:lineRule="auto"/>
        <w:jc w:val="both"/>
        <w:rPr>
          <w:rFonts w:ascii="Arial" w:eastAsia="Calibri" w:hAnsi="Arial" w:cs="Arial"/>
          <w:kern w:val="2"/>
          <w:lang w:val="sr-Cyrl-RS"/>
          <w14:ligatures w14:val="standardContextual"/>
        </w:rPr>
      </w:pPr>
    </w:p>
    <w:p w14:paraId="5E46DA5E" w14:textId="5F34395D" w:rsidR="00CB0AB0" w:rsidRDefault="00CB0AB0" w:rsidP="009C35B6">
      <w:pPr>
        <w:spacing w:after="160" w:line="276" w:lineRule="auto"/>
        <w:jc w:val="both"/>
        <w:rPr>
          <w:rFonts w:ascii="Arial" w:eastAsia="Calibri" w:hAnsi="Arial" w:cs="Arial"/>
          <w:kern w:val="2"/>
          <w:lang w:val="sr-Cyrl-RS"/>
          <w14:ligatures w14:val="standardContextual"/>
        </w:rPr>
      </w:pPr>
    </w:p>
    <w:p w14:paraId="7189903B" w14:textId="456F1368" w:rsidR="00CB0AB0" w:rsidRDefault="00CB0AB0" w:rsidP="009C35B6">
      <w:pPr>
        <w:spacing w:after="160" w:line="276" w:lineRule="auto"/>
        <w:jc w:val="both"/>
        <w:rPr>
          <w:rFonts w:ascii="Arial" w:eastAsia="Calibri" w:hAnsi="Arial" w:cs="Arial"/>
          <w:kern w:val="2"/>
          <w:lang w:val="sr-Cyrl-RS"/>
          <w14:ligatures w14:val="standardContextual"/>
        </w:rPr>
      </w:pPr>
    </w:p>
    <w:p w14:paraId="51484CE1" w14:textId="5DBA343F" w:rsidR="00CB0AB0" w:rsidRDefault="00CB0AB0" w:rsidP="009C35B6">
      <w:pPr>
        <w:spacing w:after="160" w:line="276" w:lineRule="auto"/>
        <w:jc w:val="both"/>
        <w:rPr>
          <w:rFonts w:ascii="Arial" w:eastAsia="Calibri" w:hAnsi="Arial" w:cs="Arial"/>
          <w:kern w:val="2"/>
          <w:lang w:val="sr-Cyrl-RS"/>
          <w14:ligatures w14:val="standardContextual"/>
        </w:rPr>
      </w:pPr>
    </w:p>
    <w:p w14:paraId="4B732CED" w14:textId="1C8F6A59" w:rsidR="00CB0AB0" w:rsidRDefault="00CB0AB0" w:rsidP="009C35B6">
      <w:pPr>
        <w:spacing w:after="160" w:line="276" w:lineRule="auto"/>
        <w:jc w:val="both"/>
        <w:rPr>
          <w:rFonts w:ascii="Arial" w:eastAsia="Calibri" w:hAnsi="Arial" w:cs="Arial"/>
          <w:kern w:val="2"/>
          <w:lang w:val="sr-Cyrl-RS"/>
          <w14:ligatures w14:val="standardContextual"/>
        </w:rPr>
      </w:pPr>
    </w:p>
    <w:p w14:paraId="44EFA189" w14:textId="3814F05E" w:rsidR="00CB0AB0" w:rsidRDefault="00CB0AB0" w:rsidP="009C35B6">
      <w:pPr>
        <w:spacing w:after="160" w:line="276" w:lineRule="auto"/>
        <w:jc w:val="both"/>
        <w:rPr>
          <w:rFonts w:ascii="Arial" w:eastAsia="Calibri" w:hAnsi="Arial" w:cs="Arial"/>
          <w:kern w:val="2"/>
          <w:lang w:val="sr-Cyrl-RS"/>
          <w14:ligatures w14:val="standardContextual"/>
        </w:rPr>
      </w:pPr>
    </w:p>
    <w:p w14:paraId="165619B2" w14:textId="00248973" w:rsidR="00CB0AB0" w:rsidRDefault="00CB0AB0" w:rsidP="009C35B6">
      <w:pPr>
        <w:spacing w:after="160" w:line="276" w:lineRule="auto"/>
        <w:jc w:val="both"/>
        <w:rPr>
          <w:rFonts w:ascii="Arial" w:eastAsia="Calibri" w:hAnsi="Arial" w:cs="Arial"/>
          <w:kern w:val="2"/>
          <w:lang w:val="sr-Cyrl-RS"/>
          <w14:ligatures w14:val="standardContextual"/>
        </w:rPr>
      </w:pPr>
    </w:p>
    <w:p w14:paraId="14B9B4B5" w14:textId="33563283" w:rsidR="00CB0AB0" w:rsidRDefault="00CB0AB0" w:rsidP="009C35B6">
      <w:pPr>
        <w:spacing w:after="160" w:line="276" w:lineRule="auto"/>
        <w:jc w:val="both"/>
        <w:rPr>
          <w:rFonts w:ascii="Arial" w:eastAsia="Calibri" w:hAnsi="Arial" w:cs="Arial"/>
          <w:kern w:val="2"/>
          <w:lang w:val="sr-Cyrl-RS"/>
          <w14:ligatures w14:val="standardContextual"/>
        </w:rPr>
      </w:pPr>
    </w:p>
    <w:p w14:paraId="0CDC9AA0" w14:textId="06249950" w:rsidR="00CB0AB0" w:rsidRDefault="00CB0AB0" w:rsidP="009C35B6">
      <w:pPr>
        <w:spacing w:after="160" w:line="276" w:lineRule="auto"/>
        <w:jc w:val="both"/>
        <w:rPr>
          <w:rFonts w:ascii="Arial" w:eastAsia="Calibri" w:hAnsi="Arial" w:cs="Arial"/>
          <w:kern w:val="2"/>
          <w:lang w:val="sr-Cyrl-RS"/>
          <w14:ligatures w14:val="standardContextual"/>
        </w:rPr>
      </w:pPr>
    </w:p>
    <w:p w14:paraId="451A337B" w14:textId="1935CFFA" w:rsidR="00CB0AB0" w:rsidRDefault="00CB0AB0" w:rsidP="009C35B6">
      <w:pPr>
        <w:spacing w:after="160" w:line="276" w:lineRule="auto"/>
        <w:jc w:val="both"/>
        <w:rPr>
          <w:rFonts w:ascii="Arial" w:eastAsia="Calibri" w:hAnsi="Arial" w:cs="Arial"/>
          <w:kern w:val="2"/>
          <w:lang w:val="sr-Cyrl-RS"/>
          <w14:ligatures w14:val="standardContextual"/>
        </w:rPr>
      </w:pPr>
    </w:p>
    <w:p w14:paraId="40785893" w14:textId="63EAE66D" w:rsidR="00CB0AB0" w:rsidRDefault="00CB0AB0" w:rsidP="009C35B6">
      <w:pPr>
        <w:spacing w:after="160" w:line="276" w:lineRule="auto"/>
        <w:jc w:val="both"/>
        <w:rPr>
          <w:rFonts w:ascii="Arial" w:eastAsia="Calibri" w:hAnsi="Arial" w:cs="Arial"/>
          <w:kern w:val="2"/>
          <w:lang w:val="sr-Cyrl-RS"/>
          <w14:ligatures w14:val="standardContextual"/>
        </w:rPr>
      </w:pPr>
    </w:p>
    <w:p w14:paraId="4596DA6F"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14:paraId="30DFA1CA"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76DDAA6A" w14:textId="08F1620C"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sr-Latn-RS"/>
              </w:rPr>
              <w:lastRenderedPageBreak/>
              <w:t>202</w:t>
            </w:r>
            <w:r w:rsidRPr="009C35B6">
              <w:rPr>
                <w:rFonts w:ascii="Arial" w:eastAsia="Calibri" w:hAnsi="Arial" w:cs="Arial"/>
                <w:color w:val="000000"/>
                <w:lang w:val="sr-Cyrl-RS"/>
              </w:rPr>
              <w:t>4. година</w:t>
            </w:r>
          </w:p>
        </w:tc>
      </w:tr>
      <w:tr w:rsidR="009C35B6" w:rsidRPr="00A04BA4" w14:paraId="016E31F9"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E4E90D6" w14:textId="77777777" w:rsidR="009C35B6" w:rsidRPr="009C35B6" w:rsidRDefault="009C35B6" w:rsidP="009C35B6">
            <w:pPr>
              <w:autoSpaceDE w:val="0"/>
              <w:autoSpaceDN w:val="0"/>
              <w:adjustRightInd w:val="0"/>
              <w:jc w:val="center"/>
              <w:rPr>
                <w:rFonts w:ascii="Arial" w:eastAsia="Calibri" w:hAnsi="Arial" w:cs="Arial"/>
                <w:color w:val="000000"/>
              </w:rPr>
            </w:pPr>
            <w:proofErr w:type="spellStart"/>
            <w:r w:rsidRPr="009C35B6">
              <w:rPr>
                <w:rFonts w:ascii="Arial" w:eastAsia="Calibri" w:hAnsi="Arial" w:cs="Arial"/>
                <w:color w:val="000000"/>
              </w:rPr>
              <w:t>Врста</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наручиоца</w:t>
            </w:r>
            <w:proofErr w:type="spellEnd"/>
          </w:p>
        </w:tc>
        <w:tc>
          <w:tcPr>
            <w:tcW w:w="2976" w:type="dxa"/>
            <w:vAlign w:val="center"/>
            <w:hideMark/>
          </w:tcPr>
          <w:p w14:paraId="77171C09"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proofErr w:type="spellStart"/>
            <w:r w:rsidRPr="009C35B6">
              <w:rPr>
                <w:rFonts w:ascii="Arial" w:eastAsia="Calibri" w:hAnsi="Arial" w:cs="Arial"/>
                <w:b/>
                <w:bCs/>
                <w:color w:val="000000"/>
              </w:rPr>
              <w:t>Делатност</w:t>
            </w:r>
            <w:proofErr w:type="spellEnd"/>
            <w:r w:rsidRPr="009C35B6">
              <w:rPr>
                <w:rFonts w:ascii="Arial" w:eastAsia="Calibri" w:hAnsi="Arial" w:cs="Arial"/>
                <w:b/>
                <w:bCs/>
                <w:color w:val="000000"/>
              </w:rPr>
              <w:t xml:space="preserve"> </w:t>
            </w:r>
            <w:proofErr w:type="spellStart"/>
            <w:r w:rsidRPr="009C35B6">
              <w:rPr>
                <w:rFonts w:ascii="Arial" w:eastAsia="Calibri" w:hAnsi="Arial" w:cs="Arial"/>
                <w:b/>
                <w:bCs/>
                <w:color w:val="000000"/>
              </w:rPr>
              <w:t>наручиоца</w:t>
            </w:r>
            <w:proofErr w:type="spellEnd"/>
          </w:p>
        </w:tc>
        <w:tc>
          <w:tcPr>
            <w:tcW w:w="1843" w:type="dxa"/>
            <w:vAlign w:val="center"/>
            <w:hideMark/>
          </w:tcPr>
          <w:p w14:paraId="4C9B6B3F"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ru-RU"/>
              </w:rPr>
            </w:pPr>
            <w:r w:rsidRPr="009C35B6">
              <w:rPr>
                <w:rFonts w:ascii="Arial" w:eastAsia="Calibri" w:hAnsi="Arial" w:cs="Arial"/>
                <w:b/>
                <w:bCs/>
                <w:color w:val="000000"/>
                <w:lang w:val="ru-RU"/>
              </w:rPr>
              <w:t>% ЕНП која није заснована само на цени</w:t>
            </w:r>
          </w:p>
        </w:tc>
      </w:tr>
      <w:tr w:rsidR="009C35B6" w:rsidRPr="009C35B6" w14:paraId="7D284C2A" w14:textId="77777777" w:rsidTr="0049567C">
        <w:trPr>
          <w:trHeight w:val="86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B7FC803"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Органи аутономне покрајине или органи јединице локалне самоуправе</w:t>
            </w:r>
          </w:p>
        </w:tc>
        <w:tc>
          <w:tcPr>
            <w:tcW w:w="2976" w:type="dxa"/>
            <w:vAlign w:val="center"/>
            <w:hideMark/>
          </w:tcPr>
          <w:p w14:paraId="702921E2"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Опште јавне услуге</w:t>
            </w:r>
          </w:p>
        </w:tc>
        <w:tc>
          <w:tcPr>
            <w:tcW w:w="1843" w:type="dxa"/>
            <w:vAlign w:val="center"/>
            <w:hideMark/>
          </w:tcPr>
          <w:p w14:paraId="7505DE26"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20,36</w:t>
            </w:r>
          </w:p>
        </w:tc>
      </w:tr>
      <w:tr w:rsidR="009C35B6" w:rsidRPr="009C35B6" w14:paraId="153AC420" w14:textId="77777777" w:rsidTr="009C35B6">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DFEEAE9"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14:paraId="0786A5AB"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Здравство</w:t>
            </w:r>
            <w:proofErr w:type="spellEnd"/>
          </w:p>
        </w:tc>
        <w:tc>
          <w:tcPr>
            <w:tcW w:w="1843" w:type="dxa"/>
            <w:vAlign w:val="center"/>
            <w:hideMark/>
          </w:tcPr>
          <w:p w14:paraId="538E4D5D"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13,46</w:t>
            </w:r>
          </w:p>
        </w:tc>
      </w:tr>
      <w:tr w:rsidR="009C35B6" w:rsidRPr="009C35B6" w14:paraId="422C66B4" w14:textId="77777777" w:rsidTr="0049567C">
        <w:trPr>
          <w:trHeight w:val="102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A82C337"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14:paraId="5587C250"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Стамбене</w:t>
            </w:r>
            <w:proofErr w:type="spellEnd"/>
            <w:r w:rsidRPr="009C35B6">
              <w:rPr>
                <w:rFonts w:ascii="Arial" w:eastAsia="Calibri" w:hAnsi="Arial" w:cs="Arial"/>
                <w:color w:val="000000"/>
              </w:rPr>
              <w:t xml:space="preserve"> и </w:t>
            </w:r>
            <w:proofErr w:type="spellStart"/>
            <w:r w:rsidRPr="009C35B6">
              <w:rPr>
                <w:rFonts w:ascii="Arial" w:eastAsia="Calibri" w:hAnsi="Arial" w:cs="Arial"/>
                <w:color w:val="000000"/>
              </w:rPr>
              <w:t>комуналне</w:t>
            </w:r>
            <w:proofErr w:type="spellEnd"/>
            <w:r w:rsidRPr="009C35B6">
              <w:rPr>
                <w:rFonts w:ascii="Arial" w:eastAsia="Calibri" w:hAnsi="Arial" w:cs="Arial"/>
                <w:color w:val="000000"/>
              </w:rPr>
              <w:t xml:space="preserve"> </w:t>
            </w:r>
            <w:proofErr w:type="spellStart"/>
            <w:r w:rsidRPr="009C35B6">
              <w:rPr>
                <w:rFonts w:ascii="Arial" w:eastAsia="Calibri" w:hAnsi="Arial" w:cs="Arial"/>
                <w:color w:val="000000"/>
              </w:rPr>
              <w:t>делатности</w:t>
            </w:r>
            <w:proofErr w:type="spellEnd"/>
          </w:p>
        </w:tc>
        <w:tc>
          <w:tcPr>
            <w:tcW w:w="1843" w:type="dxa"/>
            <w:vAlign w:val="center"/>
            <w:hideMark/>
          </w:tcPr>
          <w:p w14:paraId="54364CC8"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4,51</w:t>
            </w:r>
          </w:p>
        </w:tc>
      </w:tr>
      <w:tr w:rsidR="009C35B6" w:rsidRPr="009C35B6" w14:paraId="4D181F01" w14:textId="77777777" w:rsidTr="009C35B6">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C6CDD42" w14:textId="77777777" w:rsidR="009C35B6" w:rsidRPr="009C35B6" w:rsidRDefault="009C35B6" w:rsidP="009C35B6">
            <w:pPr>
              <w:autoSpaceDE w:val="0"/>
              <w:autoSpaceDN w:val="0"/>
              <w:adjustRightInd w:val="0"/>
              <w:jc w:val="center"/>
              <w:rPr>
                <w:rFonts w:ascii="Arial" w:eastAsia="Calibri" w:hAnsi="Arial" w:cs="Arial"/>
                <w:color w:val="000000"/>
                <w:lang w:val="sr-Latn-RS"/>
              </w:rPr>
            </w:pPr>
            <w:r w:rsidRPr="009C35B6">
              <w:rPr>
                <w:rFonts w:ascii="Arial" w:eastAsia="Calibri" w:hAnsi="Arial" w:cs="Arial"/>
                <w:color w:val="000000"/>
                <w:lang w:val="ru-RU"/>
              </w:rPr>
              <w:t>Правна лица основана у циљу задовољавања потреба у општем интересу</w:t>
            </w:r>
          </w:p>
        </w:tc>
        <w:tc>
          <w:tcPr>
            <w:tcW w:w="2976" w:type="dxa"/>
            <w:vAlign w:val="center"/>
            <w:hideMark/>
          </w:tcPr>
          <w:p w14:paraId="37710CF6"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roofErr w:type="spellStart"/>
            <w:r w:rsidRPr="009C35B6">
              <w:rPr>
                <w:rFonts w:ascii="Arial" w:eastAsia="Calibri" w:hAnsi="Arial" w:cs="Arial"/>
                <w:color w:val="000000"/>
              </w:rPr>
              <w:t>Просвета</w:t>
            </w:r>
            <w:proofErr w:type="spellEnd"/>
          </w:p>
        </w:tc>
        <w:tc>
          <w:tcPr>
            <w:tcW w:w="1843" w:type="dxa"/>
            <w:vAlign w:val="center"/>
            <w:hideMark/>
          </w:tcPr>
          <w:p w14:paraId="070B06FF"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3,56</w:t>
            </w:r>
          </w:p>
        </w:tc>
      </w:tr>
      <w:tr w:rsidR="009C35B6" w:rsidRPr="009C35B6" w14:paraId="6EA10F52" w14:textId="77777777" w:rsidTr="0049567C">
        <w:trPr>
          <w:trHeight w:val="73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16A564F" w14:textId="77777777" w:rsidR="009C35B6" w:rsidRPr="009C35B6" w:rsidRDefault="009C35B6" w:rsidP="009C35B6">
            <w:pPr>
              <w:autoSpaceDE w:val="0"/>
              <w:autoSpaceDN w:val="0"/>
              <w:adjustRightInd w:val="0"/>
              <w:jc w:val="center"/>
              <w:rPr>
                <w:rFonts w:ascii="Arial" w:eastAsia="Calibri" w:hAnsi="Arial" w:cs="Arial"/>
                <w:color w:val="000000"/>
                <w:lang w:val="sr-Cyrl-RS"/>
              </w:rPr>
            </w:pPr>
            <w:r w:rsidRPr="009C35B6">
              <w:rPr>
                <w:rFonts w:ascii="Arial" w:eastAsia="Calibri" w:hAnsi="Arial" w:cs="Arial"/>
                <w:color w:val="000000"/>
                <w:lang w:val="sr-Cyrl-RS"/>
              </w:rPr>
              <w:t>Министарство или други државни органи</w:t>
            </w:r>
          </w:p>
        </w:tc>
        <w:tc>
          <w:tcPr>
            <w:tcW w:w="2976" w:type="dxa"/>
            <w:vAlign w:val="center"/>
            <w:hideMark/>
          </w:tcPr>
          <w:p w14:paraId="577DF295"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Одбрана</w:t>
            </w:r>
          </w:p>
        </w:tc>
        <w:tc>
          <w:tcPr>
            <w:tcW w:w="1843" w:type="dxa"/>
            <w:vAlign w:val="center"/>
            <w:hideMark/>
          </w:tcPr>
          <w:p w14:paraId="15D02ED3"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Latn-RS"/>
              </w:rPr>
            </w:pPr>
            <w:r w:rsidRPr="009C35B6">
              <w:rPr>
                <w:rFonts w:ascii="Arial" w:eastAsia="Calibri" w:hAnsi="Arial" w:cs="Arial"/>
                <w:color w:val="000000"/>
                <w:lang w:val="sr-Latn-RS"/>
              </w:rPr>
              <w:t>2,85</w:t>
            </w:r>
          </w:p>
        </w:tc>
      </w:tr>
    </w:tbl>
    <w:p w14:paraId="33D59F3F"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254B0171" w14:textId="0D090219" w:rsidR="009C35B6" w:rsidRDefault="004E2528" w:rsidP="009C35B6">
      <w:pPr>
        <w:spacing w:line="276" w:lineRule="auto"/>
        <w:jc w:val="both"/>
        <w:rPr>
          <w:rFonts w:ascii="Arial" w:eastAsia="Calibri" w:hAnsi="Arial" w:cs="Arial"/>
          <w:kern w:val="2"/>
          <w:lang w:val="sr-Cyrl-RS"/>
          <w14:ligatures w14:val="standardContextual"/>
        </w:rPr>
      </w:pPr>
      <w:r>
        <w:rPr>
          <w:rFonts w:ascii="Arial" w:eastAsia="Calibri" w:hAnsi="Arial" w:cs="Arial"/>
          <w:kern w:val="2"/>
          <w:lang w:val="sr-Cyrl-RS"/>
          <w14:ligatures w14:val="standardContextual"/>
        </w:rPr>
        <w:t xml:space="preserve">На основу података који су наведени у оквиру тачке 3 закључује се да је критеријум за доделу уговора који није заснован само на цени највише заступљен код наручилаца који обављају делатност </w:t>
      </w:r>
      <w:r w:rsidR="008217A1">
        <w:rPr>
          <w:rFonts w:ascii="Arial" w:eastAsia="Calibri" w:hAnsi="Arial" w:cs="Arial"/>
          <w:kern w:val="2"/>
          <w:lang w:val="sr-Cyrl-RS"/>
          <w14:ligatures w14:val="standardContextual"/>
        </w:rPr>
        <w:t xml:space="preserve">из области </w:t>
      </w:r>
      <w:r>
        <w:rPr>
          <w:rFonts w:ascii="Arial" w:eastAsia="Calibri" w:hAnsi="Arial" w:cs="Arial"/>
          <w:kern w:val="2"/>
          <w:lang w:val="sr-Cyrl-RS"/>
          <w14:ligatures w14:val="standardContextual"/>
        </w:rPr>
        <w:t>здравства</w:t>
      </w:r>
      <w:r w:rsidR="008217A1">
        <w:rPr>
          <w:rFonts w:ascii="Arial" w:eastAsia="Calibri" w:hAnsi="Arial" w:cs="Arial"/>
          <w:kern w:val="2"/>
          <w:lang w:val="sr-Cyrl-RS"/>
          <w14:ligatures w14:val="standardContextual"/>
        </w:rPr>
        <w:t xml:space="preserve">. Затим следе наручиоци који обављају стамбену и комуналну делатност, наручиоци из области општих јавних услуга, док је нешто мањи проценат ове врсте критеријума за доделу уговора заступљен код наручилаца из области одбране, просвете и водоснабдевања.  </w:t>
      </w:r>
    </w:p>
    <w:p w14:paraId="0A0CA578" w14:textId="04A801EA" w:rsidR="008217A1" w:rsidRDefault="008217A1" w:rsidP="009C35B6">
      <w:pPr>
        <w:spacing w:line="276" w:lineRule="auto"/>
        <w:jc w:val="both"/>
        <w:rPr>
          <w:rFonts w:ascii="Arial" w:eastAsia="Calibri" w:hAnsi="Arial" w:cs="Arial"/>
          <w:kern w:val="2"/>
          <w:lang w:val="sr-Cyrl-RS"/>
          <w14:ligatures w14:val="standardContextual"/>
        </w:rPr>
      </w:pPr>
      <w:r>
        <w:rPr>
          <w:rFonts w:ascii="Arial" w:eastAsia="Calibri" w:hAnsi="Arial" w:cs="Arial"/>
          <w:kern w:val="2"/>
          <w:lang w:val="sr-Cyrl-RS"/>
          <w14:ligatures w14:val="standardContextual"/>
        </w:rPr>
        <w:t>Када је реч о 2024. години, подаци садржани у табели се односе на период закључно са 11. новембром 2024. године, тако да ће коначни подаци у вези са применом критеријума који није заснован само на цени бити доступни у годишњем извештају о јавним набавкама који припрема Канцеларија за јавне набавке.</w:t>
      </w:r>
    </w:p>
    <w:p w14:paraId="3C5E19EB" w14:textId="011510C9" w:rsidR="008217A1" w:rsidRDefault="008217A1" w:rsidP="009C35B6">
      <w:pPr>
        <w:spacing w:line="276" w:lineRule="auto"/>
        <w:jc w:val="both"/>
        <w:rPr>
          <w:rFonts w:ascii="Arial" w:eastAsia="Calibri" w:hAnsi="Arial" w:cs="Arial"/>
          <w:kern w:val="2"/>
          <w:lang w:val="sr-Cyrl-RS"/>
          <w14:ligatures w14:val="standardContextual"/>
        </w:rPr>
      </w:pPr>
    </w:p>
    <w:p w14:paraId="20319C47" w14:textId="2A451E8C" w:rsidR="008217A1" w:rsidRDefault="008217A1" w:rsidP="009C35B6">
      <w:pPr>
        <w:spacing w:line="276" w:lineRule="auto"/>
        <w:jc w:val="both"/>
        <w:rPr>
          <w:rFonts w:ascii="Arial" w:eastAsia="Calibri" w:hAnsi="Arial" w:cs="Arial"/>
          <w:kern w:val="2"/>
          <w:lang w:val="sr-Cyrl-RS"/>
          <w14:ligatures w14:val="standardContextual"/>
        </w:rPr>
      </w:pPr>
    </w:p>
    <w:p w14:paraId="38B19C2A" w14:textId="10C0DB67" w:rsidR="008217A1" w:rsidRDefault="008217A1" w:rsidP="009C35B6">
      <w:pPr>
        <w:spacing w:line="276" w:lineRule="auto"/>
        <w:jc w:val="both"/>
        <w:rPr>
          <w:rFonts w:ascii="Arial" w:eastAsia="Calibri" w:hAnsi="Arial" w:cs="Arial"/>
          <w:kern w:val="2"/>
          <w:lang w:val="sr-Cyrl-RS"/>
          <w14:ligatures w14:val="standardContextual"/>
        </w:rPr>
      </w:pPr>
    </w:p>
    <w:p w14:paraId="51ADBC02" w14:textId="2DA225AA" w:rsidR="008217A1" w:rsidRDefault="008217A1" w:rsidP="009C35B6">
      <w:pPr>
        <w:spacing w:line="276" w:lineRule="auto"/>
        <w:jc w:val="both"/>
        <w:rPr>
          <w:rFonts w:ascii="Arial" w:eastAsia="Calibri" w:hAnsi="Arial" w:cs="Arial"/>
          <w:kern w:val="2"/>
          <w:lang w:val="sr-Cyrl-RS"/>
          <w14:ligatures w14:val="standardContextual"/>
        </w:rPr>
      </w:pPr>
    </w:p>
    <w:p w14:paraId="408BC785" w14:textId="4D720E36" w:rsidR="008217A1" w:rsidRDefault="008217A1" w:rsidP="009C35B6">
      <w:pPr>
        <w:spacing w:line="276" w:lineRule="auto"/>
        <w:jc w:val="both"/>
        <w:rPr>
          <w:rFonts w:ascii="Arial" w:eastAsia="Calibri" w:hAnsi="Arial" w:cs="Arial"/>
          <w:kern w:val="2"/>
          <w:lang w:val="sr-Cyrl-RS"/>
          <w14:ligatures w14:val="standardContextual"/>
        </w:rPr>
      </w:pPr>
    </w:p>
    <w:p w14:paraId="2B97FFBD" w14:textId="77777777" w:rsidR="008217A1" w:rsidRPr="009C35B6" w:rsidRDefault="008217A1" w:rsidP="009C35B6">
      <w:pPr>
        <w:spacing w:line="276" w:lineRule="auto"/>
        <w:jc w:val="both"/>
        <w:rPr>
          <w:rFonts w:ascii="Arial" w:eastAsia="Calibri" w:hAnsi="Arial" w:cs="Arial"/>
          <w:kern w:val="2"/>
          <w:lang w:val="sr-Cyrl-RS"/>
          <w14:ligatures w14:val="standardContextual"/>
        </w:rPr>
      </w:pPr>
    </w:p>
    <w:p w14:paraId="4982FF74"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418ECFD8" w14:textId="4746B14F" w:rsidR="009C35B6" w:rsidRPr="00CB0AB0" w:rsidRDefault="009C35B6" w:rsidP="00341D3C">
      <w:pPr>
        <w:numPr>
          <w:ilvl w:val="0"/>
          <w:numId w:val="13"/>
        </w:numPr>
        <w:spacing w:after="160" w:line="276" w:lineRule="auto"/>
        <w:contextualSpacing/>
        <w:jc w:val="center"/>
        <w:rPr>
          <w:rFonts w:ascii="Arial" w:eastAsia="Calibri" w:hAnsi="Arial" w:cs="Arial"/>
          <w:kern w:val="2"/>
          <w:lang w:val="sr-Cyrl-RS"/>
          <w14:ligatures w14:val="standardContextual"/>
        </w:rPr>
      </w:pPr>
      <w:r w:rsidRPr="009C35B6">
        <w:rPr>
          <w:rFonts w:ascii="Arial" w:eastAsia="Calibri" w:hAnsi="Arial" w:cs="Arial"/>
          <w:b/>
          <w:bCs/>
          <w:kern w:val="2"/>
          <w:lang w:val="sr-Cyrl-RS"/>
          <w14:ligatures w14:val="standardContextual"/>
        </w:rPr>
        <w:lastRenderedPageBreak/>
        <w:t xml:space="preserve">Примена критеријума за доделу уговора који није заснован само на цени према </w:t>
      </w:r>
      <w:r w:rsidRPr="009C35B6">
        <w:rPr>
          <w:rFonts w:ascii="Arial" w:eastAsia="Calibri" w:hAnsi="Arial" w:cs="Arial"/>
          <w:b/>
          <w:bCs/>
          <w:kern w:val="2"/>
          <w:lang w:val="en-GB"/>
          <w14:ligatures w14:val="standardContextual"/>
        </w:rPr>
        <w:t>CPV</w:t>
      </w:r>
      <w:r w:rsidRPr="009C35B6">
        <w:rPr>
          <w:rFonts w:ascii="Arial" w:eastAsia="Calibri" w:hAnsi="Arial" w:cs="Arial"/>
          <w:b/>
          <w:bCs/>
          <w:kern w:val="2"/>
          <w:lang w:val="sr-Cyrl-RS"/>
          <w14:ligatures w14:val="standardContextual"/>
        </w:rPr>
        <w:t xml:space="preserve"> ознаци</w:t>
      </w:r>
    </w:p>
    <w:p w14:paraId="7E0D0D7F" w14:textId="77777777" w:rsidR="00CB0AB0" w:rsidRPr="009C35B6" w:rsidRDefault="00CB0AB0" w:rsidP="00CB0AB0">
      <w:pPr>
        <w:spacing w:after="160" w:line="276" w:lineRule="auto"/>
        <w:ind w:left="1080"/>
        <w:contextualSpacing/>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0A56610A" w14:textId="77777777" w:rsidTr="009C35B6">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1EC86EFB" w14:textId="77777777" w:rsidR="009C35B6" w:rsidRPr="009C35B6" w:rsidRDefault="009C35B6" w:rsidP="009C35B6">
            <w:pPr>
              <w:rPr>
                <w:rFonts w:ascii="Arial" w:hAnsi="Arial" w:cs="Arial"/>
                <w:lang w:val="sr-Cyrl-RS"/>
              </w:rPr>
            </w:pPr>
            <w:r w:rsidRPr="009C35B6">
              <w:rPr>
                <w:rFonts w:ascii="Arial" w:hAnsi="Arial" w:cs="Arial"/>
                <w:lang w:val="sr-Cyrl-RS"/>
              </w:rPr>
              <w:t xml:space="preserve">Првих 5 предмета набавке 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2020. година</w:t>
            </w:r>
          </w:p>
        </w:tc>
      </w:tr>
      <w:tr w:rsidR="009C35B6" w:rsidRPr="009C35B6" w14:paraId="2349EC47" w14:textId="77777777" w:rsidTr="0049567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ED5658C" w14:textId="77777777" w:rsidR="009C35B6" w:rsidRPr="009C35B6" w:rsidRDefault="009C35B6" w:rsidP="009C35B6">
            <w:pPr>
              <w:jc w:val="both"/>
              <w:rPr>
                <w:rFonts w:ascii="Arial" w:hAnsi="Arial" w:cs="Arial"/>
                <w:lang w:val="ru-RU"/>
              </w:rPr>
            </w:pPr>
            <w:r w:rsidRPr="009C35B6">
              <w:rPr>
                <w:rFonts w:ascii="Arial" w:hAnsi="Arial" w:cs="Arial"/>
                <w:lang w:val="sr-Latn-RS"/>
              </w:rPr>
              <w:t>50400000 - Услуге поправке и одржавања медицинске и прецизне опреме</w:t>
            </w:r>
          </w:p>
        </w:tc>
        <w:tc>
          <w:tcPr>
            <w:tcW w:w="1791" w:type="dxa"/>
            <w:shd w:val="clear" w:color="auto" w:fill="auto"/>
            <w:noWrap/>
            <w:vAlign w:val="center"/>
            <w:hideMark/>
          </w:tcPr>
          <w:p w14:paraId="4BA56614"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8,51%</w:t>
            </w:r>
          </w:p>
        </w:tc>
      </w:tr>
      <w:tr w:rsidR="009C35B6" w:rsidRPr="009C35B6" w14:paraId="65FE751E" w14:textId="77777777" w:rsidTr="0049567C">
        <w:trPr>
          <w:trHeight w:val="41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65FA1F8E" w14:textId="77777777" w:rsidR="009C35B6" w:rsidRPr="009C35B6" w:rsidRDefault="009C35B6" w:rsidP="009C35B6">
            <w:pPr>
              <w:jc w:val="both"/>
              <w:rPr>
                <w:rFonts w:ascii="Arial" w:hAnsi="Arial" w:cs="Arial"/>
                <w:lang w:val="sr-Latn-RS"/>
              </w:rPr>
            </w:pPr>
            <w:r w:rsidRPr="009C35B6">
              <w:rPr>
                <w:rFonts w:ascii="Arial" w:hAnsi="Arial" w:cs="Arial"/>
                <w:lang w:val="sr-Latn-RS"/>
              </w:rPr>
              <w:t>50421000 - Услуге поправке и одржавања медицинске опреме</w:t>
            </w:r>
          </w:p>
        </w:tc>
        <w:tc>
          <w:tcPr>
            <w:tcW w:w="1791" w:type="dxa"/>
            <w:shd w:val="clear" w:color="auto" w:fill="auto"/>
            <w:noWrap/>
            <w:vAlign w:val="center"/>
            <w:hideMark/>
          </w:tcPr>
          <w:p w14:paraId="47997A87"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6,24%</w:t>
            </w:r>
          </w:p>
        </w:tc>
      </w:tr>
      <w:tr w:rsidR="009C35B6" w:rsidRPr="009C35B6" w14:paraId="6B6F549D" w14:textId="77777777" w:rsidTr="0049567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6DDFE533" w14:textId="77777777" w:rsidR="009C35B6" w:rsidRPr="009C35B6" w:rsidRDefault="009C35B6" w:rsidP="009C35B6">
            <w:pPr>
              <w:jc w:val="both"/>
              <w:rPr>
                <w:rFonts w:ascii="Arial" w:hAnsi="Arial" w:cs="Arial"/>
                <w:lang w:val="sr-Latn-RS"/>
              </w:rPr>
            </w:pPr>
            <w:r w:rsidRPr="009C35B6">
              <w:rPr>
                <w:rFonts w:ascii="Arial" w:hAnsi="Arial" w:cs="Arial"/>
                <w:lang w:val="sr-Latn-RS"/>
              </w:rPr>
              <w:t>50000000 - Услуге одржавања и поправки</w:t>
            </w:r>
          </w:p>
        </w:tc>
        <w:tc>
          <w:tcPr>
            <w:tcW w:w="1791" w:type="dxa"/>
            <w:shd w:val="clear" w:color="auto" w:fill="auto"/>
            <w:noWrap/>
            <w:vAlign w:val="center"/>
            <w:hideMark/>
          </w:tcPr>
          <w:p w14:paraId="4168C58C"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3,40%</w:t>
            </w:r>
          </w:p>
        </w:tc>
      </w:tr>
      <w:tr w:rsidR="009C35B6" w:rsidRPr="009C35B6" w14:paraId="3D65619B" w14:textId="77777777" w:rsidTr="0049567C">
        <w:trPr>
          <w:trHeight w:val="42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90DF330" w14:textId="671C96F0"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14:paraId="17373E80"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2,84%</w:t>
            </w:r>
          </w:p>
        </w:tc>
      </w:tr>
      <w:tr w:rsidR="009C35B6" w:rsidRPr="009C35B6" w14:paraId="151AF240" w14:textId="77777777" w:rsidTr="004956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55E5E7B" w14:textId="77777777" w:rsidR="009C35B6" w:rsidRPr="009C35B6" w:rsidRDefault="009C35B6" w:rsidP="009C35B6">
            <w:pPr>
              <w:jc w:val="both"/>
              <w:rPr>
                <w:rFonts w:ascii="Arial" w:hAnsi="Arial" w:cs="Arial"/>
                <w:lang w:val="sr-Latn-RS"/>
              </w:rPr>
            </w:pPr>
            <w:r w:rsidRPr="009C35B6">
              <w:rPr>
                <w:rFonts w:ascii="Arial" w:hAnsi="Arial" w:cs="Arial"/>
                <w:lang w:val="sr-Latn-RS"/>
              </w:rPr>
              <w:t>09000000 - Нафтни деривати, гориво, електрична енергија и други извори енергије</w:t>
            </w:r>
          </w:p>
        </w:tc>
        <w:tc>
          <w:tcPr>
            <w:tcW w:w="1791" w:type="dxa"/>
            <w:shd w:val="clear" w:color="auto" w:fill="auto"/>
            <w:noWrap/>
            <w:vAlign w:val="center"/>
            <w:hideMark/>
          </w:tcPr>
          <w:p w14:paraId="405B9975"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2,84%</w:t>
            </w:r>
          </w:p>
        </w:tc>
      </w:tr>
    </w:tbl>
    <w:p w14:paraId="45CC456F" w14:textId="55CBAD42" w:rsidR="009C35B6" w:rsidRDefault="009C35B6" w:rsidP="009C35B6">
      <w:pPr>
        <w:spacing w:after="160" w:line="276" w:lineRule="auto"/>
        <w:ind w:left="720"/>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6E338287"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48909867" w14:textId="77777777" w:rsidR="009C35B6" w:rsidRPr="009C35B6" w:rsidRDefault="009C35B6" w:rsidP="009C35B6">
            <w:pPr>
              <w:jc w:val="center"/>
              <w:rPr>
                <w:rFonts w:ascii="Arial" w:hAnsi="Arial" w:cs="Arial"/>
                <w:lang w:val="sr-Latn-RS"/>
              </w:rPr>
            </w:pPr>
            <w:r w:rsidRPr="009C35B6">
              <w:rPr>
                <w:rFonts w:ascii="Arial" w:hAnsi="Arial" w:cs="Arial"/>
                <w:lang w:val="sr-Cyrl-RS"/>
              </w:rPr>
              <w:t xml:space="preserve">Првих 5 предмета набавке </w:t>
            </w:r>
            <w:r w:rsidRPr="009C35B6">
              <w:rPr>
                <w:rFonts w:ascii="Arial" w:eastAsia="Calibri" w:hAnsi="Arial" w:cs="Arial"/>
                <w:lang w:val="sr-Cyrl-RS"/>
              </w:rPr>
              <w:t xml:space="preserve">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 xml:space="preserve">2021. година </w:t>
            </w:r>
          </w:p>
        </w:tc>
      </w:tr>
      <w:tr w:rsidR="009C35B6" w:rsidRPr="009C35B6" w14:paraId="13A48536" w14:textId="77777777" w:rsidTr="0049567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9237073" w14:textId="77777777" w:rsidR="009C35B6" w:rsidRPr="009C35B6" w:rsidRDefault="009C35B6" w:rsidP="009C35B6">
            <w:pPr>
              <w:jc w:val="both"/>
              <w:rPr>
                <w:rFonts w:ascii="Arial" w:hAnsi="Arial" w:cs="Arial"/>
                <w:lang w:val="ru-RU"/>
              </w:rPr>
            </w:pPr>
            <w:r w:rsidRPr="009C35B6">
              <w:rPr>
                <w:rFonts w:ascii="Arial" w:hAnsi="Arial" w:cs="Arial"/>
                <w:lang w:val="sr-Latn-RS"/>
              </w:rPr>
              <w:t>50421000 - Услуге поправке и одржава</w:t>
            </w:r>
            <w:r w:rsidRPr="009C35B6">
              <w:rPr>
                <w:rFonts w:ascii="Arial" w:hAnsi="Arial" w:cs="Arial"/>
                <w:lang w:val="sr-Cyrl-RS"/>
              </w:rPr>
              <w:t>њ</w:t>
            </w:r>
            <w:r w:rsidRPr="009C35B6">
              <w:rPr>
                <w:rFonts w:ascii="Arial" w:hAnsi="Arial" w:cs="Arial"/>
                <w:lang w:val="sr-Latn-RS"/>
              </w:rPr>
              <w:t>а медицинске опреме</w:t>
            </w:r>
          </w:p>
        </w:tc>
        <w:tc>
          <w:tcPr>
            <w:tcW w:w="1791" w:type="dxa"/>
            <w:shd w:val="clear" w:color="auto" w:fill="auto"/>
            <w:noWrap/>
            <w:vAlign w:val="center"/>
            <w:hideMark/>
          </w:tcPr>
          <w:p w14:paraId="6F9DCBE8"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10,31%</w:t>
            </w:r>
          </w:p>
        </w:tc>
      </w:tr>
      <w:tr w:rsidR="009C35B6" w:rsidRPr="009C35B6" w14:paraId="16B8B578" w14:textId="77777777" w:rsidTr="0049567C">
        <w:trPr>
          <w:trHeight w:val="41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9971AE5" w14:textId="3AE1CD73"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14:paraId="24EF9876"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4,52%</w:t>
            </w:r>
          </w:p>
        </w:tc>
      </w:tr>
      <w:tr w:rsidR="009C35B6" w:rsidRPr="009C35B6" w14:paraId="00CE68B9" w14:textId="77777777" w:rsidTr="004956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71684D3" w14:textId="77777777" w:rsidR="009C35B6" w:rsidRPr="009C35B6" w:rsidRDefault="009C35B6" w:rsidP="009C35B6">
            <w:pPr>
              <w:jc w:val="both"/>
              <w:rPr>
                <w:rFonts w:ascii="Arial" w:hAnsi="Arial" w:cs="Arial"/>
                <w:lang w:val="sr-Latn-RS"/>
              </w:rPr>
            </w:pPr>
            <w:r w:rsidRPr="009C35B6">
              <w:rPr>
                <w:rFonts w:ascii="Arial" w:hAnsi="Arial" w:cs="Arial"/>
                <w:lang w:val="sr-Latn-RS"/>
              </w:rPr>
              <w:t>64212000 - Услуге мобилне телефоније</w:t>
            </w:r>
          </w:p>
        </w:tc>
        <w:tc>
          <w:tcPr>
            <w:tcW w:w="1791" w:type="dxa"/>
            <w:shd w:val="clear" w:color="auto" w:fill="auto"/>
            <w:noWrap/>
            <w:vAlign w:val="center"/>
            <w:hideMark/>
          </w:tcPr>
          <w:p w14:paraId="45F27063"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3,49%</w:t>
            </w:r>
          </w:p>
        </w:tc>
      </w:tr>
      <w:tr w:rsidR="009C35B6" w:rsidRPr="009C35B6" w14:paraId="3C515E41" w14:textId="77777777" w:rsidTr="0049567C">
        <w:trPr>
          <w:trHeight w:val="41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0994441F" w14:textId="77777777" w:rsidR="009C35B6" w:rsidRPr="009C35B6" w:rsidRDefault="009C35B6" w:rsidP="009C35B6">
            <w:pPr>
              <w:jc w:val="both"/>
              <w:rPr>
                <w:rFonts w:ascii="Arial" w:hAnsi="Arial" w:cs="Arial"/>
                <w:lang w:val="sr-Latn-RS"/>
              </w:rPr>
            </w:pPr>
            <w:r w:rsidRPr="009C35B6">
              <w:rPr>
                <w:rFonts w:ascii="Arial" w:hAnsi="Arial" w:cs="Arial"/>
                <w:lang w:val="sr-Latn-RS"/>
              </w:rPr>
              <w:t>50000000 - Услуге одржава</w:t>
            </w:r>
            <w:r w:rsidRPr="009C35B6">
              <w:rPr>
                <w:rFonts w:ascii="Arial" w:hAnsi="Arial" w:cs="Arial"/>
                <w:lang w:val="sr-Cyrl-RS"/>
              </w:rPr>
              <w:t>њ</w:t>
            </w:r>
            <w:r w:rsidRPr="009C35B6">
              <w:rPr>
                <w:rFonts w:ascii="Arial" w:hAnsi="Arial" w:cs="Arial"/>
                <w:lang w:val="sr-Latn-RS"/>
              </w:rPr>
              <w:t>а и поправки</w:t>
            </w:r>
          </w:p>
        </w:tc>
        <w:tc>
          <w:tcPr>
            <w:tcW w:w="1791" w:type="dxa"/>
            <w:shd w:val="clear" w:color="auto" w:fill="auto"/>
            <w:noWrap/>
            <w:vAlign w:val="center"/>
            <w:hideMark/>
          </w:tcPr>
          <w:p w14:paraId="1806149C"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3,16%</w:t>
            </w:r>
          </w:p>
        </w:tc>
      </w:tr>
      <w:tr w:rsidR="009C35B6" w:rsidRPr="009C35B6" w14:paraId="4CBDBCEF" w14:textId="77777777" w:rsidTr="0049567C">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899C0F0" w14:textId="77777777" w:rsidR="009C35B6" w:rsidRPr="009C35B6" w:rsidRDefault="009C35B6" w:rsidP="009C35B6">
            <w:pPr>
              <w:jc w:val="both"/>
              <w:rPr>
                <w:rFonts w:ascii="Arial" w:hAnsi="Arial" w:cs="Arial"/>
                <w:lang w:val="sr-Latn-RS"/>
              </w:rPr>
            </w:pPr>
            <w:r w:rsidRPr="009C35B6">
              <w:rPr>
                <w:rFonts w:ascii="Arial" w:hAnsi="Arial" w:cs="Arial"/>
                <w:lang w:val="sr-Latn-RS"/>
              </w:rPr>
              <w:t>50110000 - Услуге поправки и одржаван</w:t>
            </w:r>
            <w:r w:rsidRPr="009C35B6">
              <w:rPr>
                <w:rFonts w:ascii="Arial" w:hAnsi="Arial" w:cs="Arial"/>
                <w:lang w:val="sr-Cyrl-RS"/>
              </w:rPr>
              <w:t>њ</w:t>
            </w:r>
            <w:r w:rsidRPr="009C35B6">
              <w:rPr>
                <w:rFonts w:ascii="Arial" w:hAnsi="Arial" w:cs="Arial"/>
                <w:lang w:val="sr-Latn-RS"/>
              </w:rPr>
              <w:t>а моторних возила и припадајуће опреме</w:t>
            </w:r>
          </w:p>
        </w:tc>
        <w:tc>
          <w:tcPr>
            <w:tcW w:w="1791" w:type="dxa"/>
            <w:shd w:val="clear" w:color="auto" w:fill="auto"/>
            <w:noWrap/>
            <w:vAlign w:val="center"/>
            <w:hideMark/>
          </w:tcPr>
          <w:p w14:paraId="5D8B86C3"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2,83%</w:t>
            </w:r>
          </w:p>
        </w:tc>
      </w:tr>
    </w:tbl>
    <w:p w14:paraId="3A00C98E"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66EC44DC" w14:textId="77777777" w:rsidTr="009C35B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4C229CF5" w14:textId="77777777" w:rsidR="009C35B6" w:rsidRPr="009C35B6" w:rsidRDefault="009C35B6" w:rsidP="009C35B6">
            <w:pPr>
              <w:jc w:val="center"/>
              <w:rPr>
                <w:rFonts w:ascii="Arial" w:hAnsi="Arial" w:cs="Arial"/>
                <w:lang w:val="sr-Latn-RS"/>
              </w:rPr>
            </w:pPr>
            <w:r w:rsidRPr="009C35B6">
              <w:rPr>
                <w:rFonts w:ascii="Arial" w:hAnsi="Arial" w:cs="Arial"/>
                <w:lang w:val="sr-Cyrl-RS"/>
              </w:rPr>
              <w:t xml:space="preserve">Првих 5 предмета набавке 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2022. година</w:t>
            </w:r>
          </w:p>
        </w:tc>
      </w:tr>
      <w:tr w:rsidR="009C35B6" w:rsidRPr="009C35B6" w14:paraId="0F40B185" w14:textId="77777777" w:rsidTr="004956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11A8E4E" w14:textId="77777777" w:rsidR="009C35B6" w:rsidRPr="009C35B6" w:rsidRDefault="009C35B6" w:rsidP="009C35B6">
            <w:pPr>
              <w:jc w:val="both"/>
              <w:rPr>
                <w:rFonts w:ascii="Arial" w:hAnsi="Arial" w:cs="Arial"/>
                <w:lang w:val="ru-RU"/>
              </w:rPr>
            </w:pPr>
            <w:r w:rsidRPr="009C35B6">
              <w:rPr>
                <w:rFonts w:ascii="Arial" w:hAnsi="Arial" w:cs="Arial"/>
                <w:lang w:val="sr-Latn-RS"/>
              </w:rPr>
              <w:t>50421000 - Услуге поправке и одржава</w:t>
            </w:r>
            <w:r w:rsidRPr="009C35B6">
              <w:rPr>
                <w:rFonts w:ascii="Arial" w:hAnsi="Arial" w:cs="Arial"/>
                <w:lang w:val="sr-Cyrl-RS"/>
              </w:rPr>
              <w:t>њ</w:t>
            </w:r>
            <w:r w:rsidRPr="009C35B6">
              <w:rPr>
                <w:rFonts w:ascii="Arial" w:hAnsi="Arial" w:cs="Arial"/>
                <w:lang w:val="sr-Latn-RS"/>
              </w:rPr>
              <w:t>а медицинске опреме</w:t>
            </w:r>
          </w:p>
        </w:tc>
        <w:tc>
          <w:tcPr>
            <w:tcW w:w="1791" w:type="dxa"/>
            <w:shd w:val="clear" w:color="auto" w:fill="auto"/>
            <w:noWrap/>
            <w:vAlign w:val="center"/>
            <w:hideMark/>
          </w:tcPr>
          <w:p w14:paraId="42D20CC5"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9,74%</w:t>
            </w:r>
          </w:p>
        </w:tc>
      </w:tr>
      <w:tr w:rsidR="009C35B6" w:rsidRPr="009C35B6" w14:paraId="5838C9DD" w14:textId="77777777" w:rsidTr="0049567C">
        <w:trPr>
          <w:trHeight w:val="418"/>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FE6E786" w14:textId="4D1868FC"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14:paraId="184CDFF7"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4,16%</w:t>
            </w:r>
          </w:p>
        </w:tc>
      </w:tr>
      <w:tr w:rsidR="009C35B6" w:rsidRPr="009C35B6" w14:paraId="07BEC104" w14:textId="77777777" w:rsidTr="0049567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5A519E6" w14:textId="77777777" w:rsidR="009C35B6" w:rsidRPr="009C35B6" w:rsidRDefault="009C35B6" w:rsidP="009C35B6">
            <w:pPr>
              <w:jc w:val="both"/>
              <w:rPr>
                <w:rFonts w:ascii="Arial" w:hAnsi="Arial" w:cs="Arial"/>
                <w:lang w:val="sr-Latn-RS"/>
              </w:rPr>
            </w:pPr>
            <w:r w:rsidRPr="009C35B6">
              <w:rPr>
                <w:rFonts w:ascii="Arial" w:hAnsi="Arial" w:cs="Arial"/>
                <w:lang w:val="sr-Latn-RS"/>
              </w:rPr>
              <w:t>64212000 - Услуге мобилне телефоније</w:t>
            </w:r>
          </w:p>
        </w:tc>
        <w:tc>
          <w:tcPr>
            <w:tcW w:w="1791" w:type="dxa"/>
            <w:shd w:val="clear" w:color="auto" w:fill="auto"/>
            <w:noWrap/>
            <w:vAlign w:val="center"/>
            <w:hideMark/>
          </w:tcPr>
          <w:p w14:paraId="79DF54A2"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3,93%</w:t>
            </w:r>
          </w:p>
        </w:tc>
      </w:tr>
      <w:tr w:rsidR="009C35B6" w:rsidRPr="009C35B6" w14:paraId="44689198" w14:textId="77777777" w:rsidTr="0049567C">
        <w:trPr>
          <w:trHeight w:val="41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BFF7B2A" w14:textId="77777777" w:rsidR="009C35B6" w:rsidRPr="009C35B6" w:rsidRDefault="009C35B6" w:rsidP="009C35B6">
            <w:pPr>
              <w:jc w:val="both"/>
              <w:rPr>
                <w:rFonts w:ascii="Arial" w:hAnsi="Arial" w:cs="Arial"/>
                <w:lang w:val="sr-Latn-RS"/>
              </w:rPr>
            </w:pPr>
            <w:r w:rsidRPr="009C35B6">
              <w:rPr>
                <w:rFonts w:ascii="Arial" w:hAnsi="Arial" w:cs="Arial"/>
                <w:lang w:val="sr-Latn-RS"/>
              </w:rPr>
              <w:t>50000000 - Услуге одржава</w:t>
            </w:r>
            <w:r w:rsidRPr="009C35B6">
              <w:rPr>
                <w:rFonts w:ascii="Arial" w:hAnsi="Arial" w:cs="Arial"/>
                <w:lang w:val="sr-Cyrl-RS"/>
              </w:rPr>
              <w:t>њ</w:t>
            </w:r>
            <w:r w:rsidRPr="009C35B6">
              <w:rPr>
                <w:rFonts w:ascii="Arial" w:hAnsi="Arial" w:cs="Arial"/>
                <w:lang w:val="sr-Latn-RS"/>
              </w:rPr>
              <w:t>а и поправки</w:t>
            </w:r>
          </w:p>
        </w:tc>
        <w:tc>
          <w:tcPr>
            <w:tcW w:w="1791" w:type="dxa"/>
            <w:shd w:val="clear" w:color="auto" w:fill="auto"/>
            <w:noWrap/>
            <w:vAlign w:val="center"/>
            <w:hideMark/>
          </w:tcPr>
          <w:p w14:paraId="5324C363"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3,31%</w:t>
            </w:r>
          </w:p>
        </w:tc>
      </w:tr>
      <w:tr w:rsidR="009C35B6" w:rsidRPr="009C35B6" w14:paraId="743FEAE5" w14:textId="77777777" w:rsidTr="0049567C">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AA64BE2" w14:textId="77777777" w:rsidR="009C35B6" w:rsidRPr="009C35B6" w:rsidRDefault="009C35B6" w:rsidP="009C35B6">
            <w:pPr>
              <w:jc w:val="both"/>
              <w:rPr>
                <w:rFonts w:ascii="Arial" w:hAnsi="Arial" w:cs="Arial"/>
                <w:lang w:val="sr-Latn-RS"/>
              </w:rPr>
            </w:pPr>
            <w:r w:rsidRPr="009C35B6">
              <w:rPr>
                <w:rFonts w:ascii="Arial" w:hAnsi="Arial" w:cs="Arial"/>
                <w:lang w:val="sr-Latn-RS"/>
              </w:rPr>
              <w:t>50110000 - Услуге поправки и одржава</w:t>
            </w:r>
            <w:r w:rsidRPr="009C35B6">
              <w:rPr>
                <w:rFonts w:ascii="Arial" w:hAnsi="Arial" w:cs="Arial"/>
                <w:lang w:val="sr-Cyrl-RS"/>
              </w:rPr>
              <w:t>њ</w:t>
            </w:r>
            <w:r w:rsidRPr="009C35B6">
              <w:rPr>
                <w:rFonts w:ascii="Arial" w:hAnsi="Arial" w:cs="Arial"/>
                <w:lang w:val="sr-Latn-RS"/>
              </w:rPr>
              <w:t>а моторних возила и припадајуће опреме</w:t>
            </w:r>
          </w:p>
        </w:tc>
        <w:tc>
          <w:tcPr>
            <w:tcW w:w="1791" w:type="dxa"/>
            <w:shd w:val="clear" w:color="auto" w:fill="auto"/>
            <w:noWrap/>
            <w:vAlign w:val="center"/>
            <w:hideMark/>
          </w:tcPr>
          <w:p w14:paraId="58BA0ADF"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3,22%</w:t>
            </w:r>
          </w:p>
        </w:tc>
      </w:tr>
    </w:tbl>
    <w:p w14:paraId="532343E2" w14:textId="4B412587" w:rsidR="009C35B6" w:rsidRDefault="009C35B6"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378DF8CF"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0AF01623" w14:textId="77777777" w:rsidR="009C35B6" w:rsidRPr="009C35B6" w:rsidRDefault="009C35B6" w:rsidP="009C35B6">
            <w:pPr>
              <w:jc w:val="center"/>
              <w:rPr>
                <w:rFonts w:ascii="Arial" w:hAnsi="Arial" w:cs="Arial"/>
                <w:lang w:val="sr-Latn-RS"/>
              </w:rPr>
            </w:pPr>
            <w:r w:rsidRPr="009C35B6">
              <w:rPr>
                <w:rFonts w:ascii="Arial" w:hAnsi="Arial" w:cs="Arial"/>
                <w:lang w:val="sr-Cyrl-RS"/>
              </w:rPr>
              <w:t xml:space="preserve">Првих 5 предмета набавке 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2023. година</w:t>
            </w:r>
          </w:p>
        </w:tc>
      </w:tr>
      <w:tr w:rsidR="009C35B6" w:rsidRPr="009C35B6" w14:paraId="0F443BE1" w14:textId="77777777" w:rsidTr="00495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5C8EEA99" w14:textId="77777777" w:rsidR="009C35B6" w:rsidRPr="009C35B6" w:rsidRDefault="009C35B6" w:rsidP="009C35B6">
            <w:pPr>
              <w:jc w:val="both"/>
              <w:rPr>
                <w:rFonts w:ascii="Arial" w:hAnsi="Arial" w:cs="Arial"/>
                <w:lang w:val="ru-RU"/>
              </w:rPr>
            </w:pPr>
            <w:r w:rsidRPr="009C35B6">
              <w:rPr>
                <w:rFonts w:ascii="Arial" w:hAnsi="Arial" w:cs="Arial"/>
                <w:lang w:val="sr-Latn-RS"/>
              </w:rPr>
              <w:t>50421000 - Услуге поправке и одржава</w:t>
            </w:r>
            <w:r w:rsidRPr="009C35B6">
              <w:rPr>
                <w:rFonts w:ascii="Arial" w:hAnsi="Arial" w:cs="Arial"/>
                <w:lang w:val="sr-Cyrl-RS"/>
              </w:rPr>
              <w:t>њ</w:t>
            </w:r>
            <w:r w:rsidRPr="009C35B6">
              <w:rPr>
                <w:rFonts w:ascii="Arial" w:hAnsi="Arial" w:cs="Arial"/>
                <w:lang w:val="sr-Latn-RS"/>
              </w:rPr>
              <w:t>а медицинске опреме</w:t>
            </w:r>
          </w:p>
        </w:tc>
        <w:tc>
          <w:tcPr>
            <w:tcW w:w="1791" w:type="dxa"/>
            <w:shd w:val="clear" w:color="auto" w:fill="auto"/>
            <w:noWrap/>
            <w:vAlign w:val="center"/>
            <w:hideMark/>
          </w:tcPr>
          <w:p w14:paraId="71CAE1C5"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8,93%</w:t>
            </w:r>
          </w:p>
        </w:tc>
      </w:tr>
      <w:tr w:rsidR="009C35B6" w:rsidRPr="009C35B6" w14:paraId="79E508AE" w14:textId="77777777" w:rsidTr="0049567C">
        <w:trPr>
          <w:trHeight w:val="40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7B9DD36" w14:textId="27CC3576"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14:paraId="40683C7B"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4,58%</w:t>
            </w:r>
          </w:p>
        </w:tc>
      </w:tr>
      <w:tr w:rsidR="009C35B6" w:rsidRPr="009C35B6" w14:paraId="5907D22E" w14:textId="77777777" w:rsidTr="0049567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628AFEC9" w14:textId="77777777" w:rsidR="009C35B6" w:rsidRPr="009C35B6" w:rsidRDefault="009C35B6" w:rsidP="009C35B6">
            <w:pPr>
              <w:jc w:val="both"/>
              <w:rPr>
                <w:rFonts w:ascii="Arial" w:hAnsi="Arial" w:cs="Arial"/>
                <w:lang w:val="sr-Latn-RS"/>
              </w:rPr>
            </w:pPr>
            <w:r w:rsidRPr="009C35B6">
              <w:rPr>
                <w:rFonts w:ascii="Arial" w:hAnsi="Arial" w:cs="Arial"/>
                <w:lang w:val="sr-Latn-RS"/>
              </w:rPr>
              <w:t>50000000 - Услуге одржава</w:t>
            </w:r>
            <w:r w:rsidRPr="009C35B6">
              <w:rPr>
                <w:rFonts w:ascii="Arial" w:hAnsi="Arial" w:cs="Arial"/>
                <w:lang w:val="sr-Cyrl-RS"/>
              </w:rPr>
              <w:t>њ</w:t>
            </w:r>
            <w:r w:rsidRPr="009C35B6">
              <w:rPr>
                <w:rFonts w:ascii="Arial" w:hAnsi="Arial" w:cs="Arial"/>
                <w:lang w:val="sr-Latn-RS"/>
              </w:rPr>
              <w:t>а и поправки</w:t>
            </w:r>
          </w:p>
        </w:tc>
        <w:tc>
          <w:tcPr>
            <w:tcW w:w="1791" w:type="dxa"/>
            <w:shd w:val="clear" w:color="auto" w:fill="auto"/>
            <w:noWrap/>
            <w:vAlign w:val="center"/>
            <w:hideMark/>
          </w:tcPr>
          <w:p w14:paraId="095D3D5D"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3,41%</w:t>
            </w:r>
          </w:p>
        </w:tc>
      </w:tr>
      <w:tr w:rsidR="009C35B6" w:rsidRPr="009C35B6" w14:paraId="2EAE50EE" w14:textId="77777777" w:rsidTr="0049567C">
        <w:trPr>
          <w:trHeight w:val="40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C170DCC" w14:textId="77777777" w:rsidR="009C35B6" w:rsidRPr="009C35B6" w:rsidRDefault="009C35B6" w:rsidP="009C35B6">
            <w:pPr>
              <w:jc w:val="both"/>
              <w:rPr>
                <w:rFonts w:ascii="Arial" w:hAnsi="Arial" w:cs="Arial"/>
                <w:lang w:val="sr-Latn-RS"/>
              </w:rPr>
            </w:pPr>
            <w:r w:rsidRPr="009C35B6">
              <w:rPr>
                <w:rFonts w:ascii="Arial" w:hAnsi="Arial" w:cs="Arial"/>
                <w:lang w:val="sr-Latn-RS"/>
              </w:rPr>
              <w:lastRenderedPageBreak/>
              <w:t>64212000 - Услуге мобилне телефоније</w:t>
            </w:r>
          </w:p>
        </w:tc>
        <w:tc>
          <w:tcPr>
            <w:tcW w:w="1791" w:type="dxa"/>
            <w:shd w:val="clear" w:color="auto" w:fill="auto"/>
            <w:noWrap/>
            <w:vAlign w:val="center"/>
            <w:hideMark/>
          </w:tcPr>
          <w:p w14:paraId="3B7911D8"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3,13%</w:t>
            </w:r>
          </w:p>
        </w:tc>
      </w:tr>
      <w:tr w:rsidR="009C35B6" w:rsidRPr="009C35B6" w14:paraId="31C2B711" w14:textId="77777777" w:rsidTr="0049567C">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0637C8C" w14:textId="77777777" w:rsidR="009C35B6" w:rsidRPr="009C35B6" w:rsidRDefault="009C35B6" w:rsidP="009C35B6">
            <w:pPr>
              <w:jc w:val="both"/>
              <w:rPr>
                <w:rFonts w:ascii="Arial" w:hAnsi="Arial" w:cs="Arial"/>
                <w:lang w:val="sr-Latn-RS"/>
              </w:rPr>
            </w:pPr>
            <w:r w:rsidRPr="009C35B6">
              <w:rPr>
                <w:rFonts w:ascii="Arial" w:hAnsi="Arial" w:cs="Arial"/>
                <w:lang w:val="sr-Latn-RS"/>
              </w:rPr>
              <w:t>50110000 - Услуге поправки и одржава</w:t>
            </w:r>
            <w:r w:rsidRPr="009C35B6">
              <w:rPr>
                <w:rFonts w:ascii="Arial" w:hAnsi="Arial" w:cs="Arial"/>
                <w:lang w:val="sr-Cyrl-RS"/>
              </w:rPr>
              <w:t>њ</w:t>
            </w:r>
            <w:r w:rsidRPr="009C35B6">
              <w:rPr>
                <w:rFonts w:ascii="Arial" w:hAnsi="Arial" w:cs="Arial"/>
                <w:lang w:val="sr-Latn-RS"/>
              </w:rPr>
              <w:t>а моторних возила и припадајуће опреме</w:t>
            </w:r>
          </w:p>
        </w:tc>
        <w:tc>
          <w:tcPr>
            <w:tcW w:w="1791" w:type="dxa"/>
            <w:shd w:val="clear" w:color="auto" w:fill="auto"/>
            <w:noWrap/>
            <w:vAlign w:val="center"/>
            <w:hideMark/>
          </w:tcPr>
          <w:p w14:paraId="33ADE8A4"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2,34%</w:t>
            </w:r>
          </w:p>
        </w:tc>
      </w:tr>
    </w:tbl>
    <w:p w14:paraId="15F5D8B3" w14:textId="60D931BA" w:rsidR="009C35B6" w:rsidRDefault="009C35B6"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13FAFA2D" w14:textId="77777777" w:rsidTr="009C35B6">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40764327" w14:textId="77777777" w:rsidR="009C35B6" w:rsidRPr="009C35B6" w:rsidRDefault="009C35B6" w:rsidP="009C35B6">
            <w:pPr>
              <w:jc w:val="center"/>
              <w:rPr>
                <w:rFonts w:ascii="Arial" w:hAnsi="Arial" w:cs="Arial"/>
                <w:lang w:val="sr-Latn-RS"/>
              </w:rPr>
            </w:pPr>
            <w:r w:rsidRPr="009C35B6">
              <w:rPr>
                <w:rFonts w:ascii="Arial" w:hAnsi="Arial" w:cs="Arial"/>
                <w:lang w:val="sr-Cyrl-RS"/>
              </w:rPr>
              <w:t xml:space="preserve">Првих 5 предмета набавке по </w:t>
            </w:r>
            <w:r w:rsidRPr="009C35B6">
              <w:rPr>
                <w:rFonts w:ascii="Arial" w:eastAsia="Calibri" w:hAnsi="Arial" w:cs="Arial"/>
              </w:rPr>
              <w:t>CPV</w:t>
            </w:r>
            <w:r w:rsidRPr="009C35B6">
              <w:rPr>
                <w:rFonts w:ascii="Arial" w:eastAsia="Calibri" w:hAnsi="Arial" w:cs="Arial"/>
                <w:lang w:val="sr-Cyrl-RS"/>
              </w:rPr>
              <w:t xml:space="preserve"> ознаци - </w:t>
            </w:r>
            <w:r w:rsidRPr="009C35B6">
              <w:rPr>
                <w:rFonts w:ascii="Arial" w:hAnsi="Arial" w:cs="Arial"/>
                <w:lang w:val="sr-Cyrl-RS"/>
              </w:rPr>
              <w:t>2024. година</w:t>
            </w:r>
          </w:p>
        </w:tc>
      </w:tr>
      <w:tr w:rsidR="009C35B6" w:rsidRPr="009C35B6" w14:paraId="50BDF07E" w14:textId="77777777" w:rsidTr="0049567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E5C3D02" w14:textId="77777777" w:rsidR="009C35B6" w:rsidRPr="009C35B6" w:rsidRDefault="009C35B6" w:rsidP="009C35B6">
            <w:pPr>
              <w:jc w:val="both"/>
              <w:rPr>
                <w:rFonts w:ascii="Arial" w:hAnsi="Arial" w:cs="Arial"/>
              </w:rPr>
            </w:pPr>
            <w:r w:rsidRPr="009C35B6">
              <w:rPr>
                <w:rFonts w:ascii="Arial" w:hAnsi="Arial" w:cs="Arial"/>
                <w:lang w:val="sr-Latn-RS"/>
              </w:rPr>
              <w:t>71320000 - Услуге техничког пројектова</w:t>
            </w:r>
            <w:r w:rsidRPr="009C35B6">
              <w:rPr>
                <w:rFonts w:ascii="Arial" w:hAnsi="Arial" w:cs="Arial"/>
                <w:lang w:val="sr-Cyrl-RS"/>
              </w:rPr>
              <w:t>њ</w:t>
            </w:r>
            <w:r w:rsidRPr="009C35B6">
              <w:rPr>
                <w:rFonts w:ascii="Arial" w:hAnsi="Arial" w:cs="Arial"/>
                <w:lang w:val="sr-Latn-RS"/>
              </w:rPr>
              <w:t>а</w:t>
            </w:r>
          </w:p>
        </w:tc>
        <w:tc>
          <w:tcPr>
            <w:tcW w:w="1791" w:type="dxa"/>
            <w:shd w:val="clear" w:color="auto" w:fill="auto"/>
            <w:noWrap/>
            <w:vAlign w:val="center"/>
            <w:hideMark/>
          </w:tcPr>
          <w:p w14:paraId="539D3318"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5,30%</w:t>
            </w:r>
          </w:p>
        </w:tc>
      </w:tr>
      <w:tr w:rsidR="009C35B6" w:rsidRPr="009C35B6" w14:paraId="2AA5EADC" w14:textId="77777777" w:rsidTr="0049567C">
        <w:trPr>
          <w:trHeight w:val="424"/>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1BFE446" w14:textId="77777777" w:rsidR="009C35B6" w:rsidRPr="009C35B6" w:rsidRDefault="009C35B6" w:rsidP="009C35B6">
            <w:pPr>
              <w:jc w:val="both"/>
              <w:rPr>
                <w:rFonts w:ascii="Arial" w:hAnsi="Arial" w:cs="Arial"/>
                <w:lang w:val="sr-Latn-RS"/>
              </w:rPr>
            </w:pPr>
            <w:r w:rsidRPr="009C35B6">
              <w:rPr>
                <w:rFonts w:ascii="Arial" w:hAnsi="Arial" w:cs="Arial"/>
                <w:lang w:val="sr-Latn-RS"/>
              </w:rPr>
              <w:t>71242000 - Израда пројеката и нацрта, процена трошкова</w:t>
            </w:r>
          </w:p>
        </w:tc>
        <w:tc>
          <w:tcPr>
            <w:tcW w:w="1791" w:type="dxa"/>
            <w:shd w:val="clear" w:color="auto" w:fill="auto"/>
            <w:noWrap/>
            <w:vAlign w:val="center"/>
            <w:hideMark/>
          </w:tcPr>
          <w:p w14:paraId="59A50461"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4,73%</w:t>
            </w:r>
          </w:p>
        </w:tc>
      </w:tr>
      <w:tr w:rsidR="009C35B6" w:rsidRPr="009C35B6" w14:paraId="57A0C485" w14:textId="77777777" w:rsidTr="00495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A2FC9CC" w14:textId="77777777" w:rsidR="009C35B6" w:rsidRPr="009C35B6" w:rsidRDefault="009C35B6" w:rsidP="009C35B6">
            <w:pPr>
              <w:jc w:val="both"/>
              <w:rPr>
                <w:rFonts w:ascii="Arial" w:hAnsi="Arial" w:cs="Arial"/>
                <w:lang w:val="sr-Latn-RS"/>
              </w:rPr>
            </w:pPr>
            <w:r w:rsidRPr="009C35B6">
              <w:rPr>
                <w:rFonts w:ascii="Arial" w:hAnsi="Arial" w:cs="Arial"/>
                <w:lang w:val="sr-Latn-RS"/>
              </w:rPr>
              <w:t>50421000 - Услуге поправке и одржава</w:t>
            </w:r>
            <w:r w:rsidRPr="009C35B6">
              <w:rPr>
                <w:rFonts w:ascii="Arial" w:hAnsi="Arial" w:cs="Arial"/>
                <w:lang w:val="sr-Cyrl-RS"/>
              </w:rPr>
              <w:t>њ</w:t>
            </w:r>
            <w:r w:rsidRPr="009C35B6">
              <w:rPr>
                <w:rFonts w:ascii="Arial" w:hAnsi="Arial" w:cs="Arial"/>
                <w:lang w:val="sr-Latn-RS"/>
              </w:rPr>
              <w:t>а медицинске опреме</w:t>
            </w:r>
          </w:p>
        </w:tc>
        <w:tc>
          <w:tcPr>
            <w:tcW w:w="1791" w:type="dxa"/>
            <w:shd w:val="clear" w:color="auto" w:fill="auto"/>
            <w:noWrap/>
            <w:vAlign w:val="center"/>
            <w:hideMark/>
          </w:tcPr>
          <w:p w14:paraId="565D62B6"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3,76%</w:t>
            </w:r>
          </w:p>
        </w:tc>
      </w:tr>
      <w:tr w:rsidR="009C35B6" w:rsidRPr="009C35B6" w14:paraId="2F8F71FA" w14:textId="77777777" w:rsidTr="0049567C">
        <w:trPr>
          <w:trHeight w:val="40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DA00B71" w14:textId="77777777" w:rsidR="009C35B6" w:rsidRPr="009C35B6" w:rsidRDefault="009C35B6" w:rsidP="009C35B6">
            <w:pPr>
              <w:jc w:val="both"/>
              <w:rPr>
                <w:rFonts w:ascii="Arial" w:hAnsi="Arial" w:cs="Arial"/>
                <w:lang w:val="sr-Latn-RS"/>
              </w:rPr>
            </w:pPr>
            <w:r w:rsidRPr="009C35B6">
              <w:rPr>
                <w:rFonts w:ascii="Arial" w:hAnsi="Arial" w:cs="Arial"/>
                <w:lang w:val="sr-Latn-RS"/>
              </w:rPr>
              <w:t>71250000 - Архитектонске, техничке и геодетске услуге</w:t>
            </w:r>
          </w:p>
        </w:tc>
        <w:tc>
          <w:tcPr>
            <w:tcW w:w="1791" w:type="dxa"/>
            <w:shd w:val="clear" w:color="auto" w:fill="auto"/>
            <w:noWrap/>
            <w:vAlign w:val="center"/>
            <w:hideMark/>
          </w:tcPr>
          <w:p w14:paraId="0FE3C1D3"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RS"/>
              </w:rPr>
            </w:pPr>
            <w:r w:rsidRPr="009C35B6">
              <w:rPr>
                <w:rFonts w:ascii="Arial" w:hAnsi="Arial" w:cs="Arial"/>
                <w:lang w:val="sr-Latn-RS"/>
              </w:rPr>
              <w:t>3,25%</w:t>
            </w:r>
          </w:p>
        </w:tc>
      </w:tr>
      <w:tr w:rsidR="009C35B6" w:rsidRPr="009C35B6" w14:paraId="745316F2" w14:textId="77777777" w:rsidTr="0049567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D1451BF" w14:textId="0992C5B1" w:rsidR="009C35B6" w:rsidRPr="009C35B6" w:rsidRDefault="009C35B6" w:rsidP="009C35B6">
            <w:pPr>
              <w:jc w:val="both"/>
              <w:rPr>
                <w:rFonts w:ascii="Arial" w:hAnsi="Arial" w:cs="Arial"/>
                <w:lang w:val="sr-Latn-RS"/>
              </w:rPr>
            </w:pPr>
            <w:r w:rsidRPr="009C35B6">
              <w:rPr>
                <w:rFonts w:ascii="Arial" w:hAnsi="Arial" w:cs="Arial"/>
                <w:lang w:val="sr-Latn-RS"/>
              </w:rPr>
              <w:t xml:space="preserve">09100000 </w:t>
            </w:r>
            <w:r w:rsidR="00FE57C9">
              <w:rPr>
                <w:rFonts w:ascii="Arial" w:hAnsi="Arial" w:cs="Arial"/>
                <w:lang w:val="sr-Latn-RS"/>
              </w:rPr>
              <w:t>–</w:t>
            </w:r>
            <w:r w:rsidRPr="009C35B6">
              <w:rPr>
                <w:rFonts w:ascii="Arial" w:hAnsi="Arial" w:cs="Arial"/>
                <w:lang w:val="sr-Latn-RS"/>
              </w:rPr>
              <w:t xml:space="preserve"> Горива</w:t>
            </w:r>
          </w:p>
        </w:tc>
        <w:tc>
          <w:tcPr>
            <w:tcW w:w="1791" w:type="dxa"/>
            <w:shd w:val="clear" w:color="auto" w:fill="auto"/>
            <w:noWrap/>
            <w:vAlign w:val="center"/>
            <w:hideMark/>
          </w:tcPr>
          <w:p w14:paraId="7F90E2A0"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RS"/>
              </w:rPr>
            </w:pPr>
            <w:r w:rsidRPr="009C35B6">
              <w:rPr>
                <w:rFonts w:ascii="Arial" w:hAnsi="Arial" w:cs="Arial"/>
                <w:lang w:val="sr-Latn-RS"/>
              </w:rPr>
              <w:t>2,97%</w:t>
            </w:r>
          </w:p>
        </w:tc>
      </w:tr>
    </w:tbl>
    <w:p w14:paraId="32A447D0"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6363C0D1" w14:textId="66E2E3DE" w:rsidR="009C35B6" w:rsidRPr="009C35B6" w:rsidRDefault="009C35B6" w:rsidP="00341D3C">
      <w:pPr>
        <w:numPr>
          <w:ilvl w:val="0"/>
          <w:numId w:val="13"/>
        </w:numPr>
        <w:spacing w:after="160" w:line="276" w:lineRule="auto"/>
        <w:contextualSpacing/>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Учешће набавки услуга из члана 132. став 3. ЗЈН у односу на укупан број поступака јавних набавки у којима је примењен</w:t>
      </w:r>
      <w:r w:rsidR="00DA1A19">
        <w:rPr>
          <w:rFonts w:ascii="Arial" w:eastAsia="Calibri" w:hAnsi="Arial" w:cs="Arial"/>
          <w:b/>
          <w:bCs/>
          <w:kern w:val="2"/>
          <w:lang w:val="sr-Cyrl-RS"/>
          <w14:ligatures w14:val="standardContextual"/>
        </w:rPr>
        <w:t xml:space="preserve"> критеријум за доделу уговора који није заснован само на цени</w:t>
      </w:r>
    </w:p>
    <w:p w14:paraId="04E8EBFE"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76B22F7C"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noProof/>
          <w:kern w:val="2"/>
          <w14:ligatures w14:val="standardContextual"/>
        </w:rPr>
        <w:drawing>
          <wp:inline distT="0" distB="0" distL="0" distR="0" wp14:anchorId="777CCEBD" wp14:editId="2DC22E82">
            <wp:extent cx="5486400" cy="3200400"/>
            <wp:effectExtent l="0" t="0" r="0" b="0"/>
            <wp:docPr id="58357800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D49B70"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735BE709" w14:textId="77777777" w:rsidR="009C35B6" w:rsidRP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2020. години од укупно 6% поступака јавних набавки у којима је примењен критеријум за доделу уговора који није заснован само на цени, 2,43% су представљале набавке услуга из члана 132. став 3. ЗЈН;</w:t>
      </w:r>
    </w:p>
    <w:p w14:paraId="27BB2BD2" w14:textId="77777777" w:rsidR="009C35B6" w:rsidRP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lastRenderedPageBreak/>
        <w:t>У 2021. години од укупно 5% поступака јавних набавки у којима је примењен критеријум за доделу уговора који није заснован само на цени, 3,32% су представљале набавке услуга из члана 132. став 3. ЗЈН;</w:t>
      </w:r>
    </w:p>
    <w:p w14:paraId="528CF253" w14:textId="77777777" w:rsidR="009C35B6" w:rsidRP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2022. години од укупно 4% поступака јавних набавки у којима је примењен критеријум за доделу уговора који није заснован само на цени, 2,77% су представљале набавке услуга из члана 132. став 3. ЗЈН;</w:t>
      </w:r>
    </w:p>
    <w:p w14:paraId="04394E98" w14:textId="77777777" w:rsidR="009C35B6" w:rsidRP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 2023. години од укупно 4,46% поступака јавних набавки у којима је примењен критеријум за доделу уговора који није заснован само на цени, 2,3% су представљале набавке услуга из члана 132. став 3. ЗЈН;</w:t>
      </w:r>
    </w:p>
    <w:p w14:paraId="2588DB09" w14:textId="3CAEAF63" w:rsidR="009C35B6" w:rsidRDefault="009C35B6" w:rsidP="00341D3C">
      <w:pPr>
        <w:numPr>
          <w:ilvl w:val="0"/>
          <w:numId w:val="16"/>
        </w:numPr>
        <w:spacing w:after="160" w:line="276" w:lineRule="auto"/>
        <w:contextualSpacing/>
        <w:jc w:val="both"/>
        <w:rPr>
          <w:rFonts w:ascii="Arial" w:eastAsia="Calibri" w:hAnsi="Arial" w:cs="Arial"/>
          <w:kern w:val="2"/>
          <w:lang w:val="sr-Cyrl-RS"/>
          <w14:ligatures w14:val="standardContextual"/>
        </w:rPr>
      </w:pPr>
      <w:r w:rsidRPr="00977CE9">
        <w:rPr>
          <w:rFonts w:ascii="Arial" w:eastAsia="Calibri" w:hAnsi="Arial" w:cs="Arial"/>
          <w:kern w:val="2"/>
          <w:lang w:val="sr-Cyrl-RS"/>
          <w14:ligatures w14:val="standardContextual"/>
        </w:rPr>
        <w:t xml:space="preserve">У 2024. години од укупно 9,57% поступака јавних набавки у којима је примењен критеријум за доделу уговора који није заснован само на цени, </w:t>
      </w:r>
      <w:r w:rsidR="00977CE9" w:rsidRPr="00977CE9">
        <w:rPr>
          <w:rFonts w:ascii="Arial" w:eastAsia="Calibri" w:hAnsi="Arial" w:cs="Arial"/>
          <w:kern w:val="2"/>
          <w:lang w:val="sr-Cyrl-RS"/>
          <w14:ligatures w14:val="standardContextual"/>
        </w:rPr>
        <w:t>45</w:t>
      </w:r>
      <w:r w:rsidRPr="00977CE9">
        <w:rPr>
          <w:rFonts w:ascii="Arial" w:eastAsia="Calibri" w:hAnsi="Arial" w:cs="Arial"/>
          <w:kern w:val="2"/>
          <w:lang w:val="sr-Cyrl-RS"/>
          <w14:ligatures w14:val="standardContextual"/>
        </w:rPr>
        <w:t>% су представљале набавке услуга из члана 132. став 3. ЗЈН</w:t>
      </w:r>
      <w:r w:rsidR="00977CE9" w:rsidRPr="00977CE9">
        <w:rPr>
          <w:rFonts w:ascii="Arial" w:eastAsia="Calibri" w:hAnsi="Arial" w:cs="Arial"/>
          <w:kern w:val="2"/>
          <w:lang w:val="sr-Cyrl-RS"/>
          <w14:ligatures w14:val="standardContextual"/>
        </w:rPr>
        <w:t xml:space="preserve">, </w:t>
      </w:r>
      <w:r w:rsidR="007B3FEA">
        <w:rPr>
          <w:rFonts w:ascii="Arial" w:eastAsia="Calibri" w:hAnsi="Arial" w:cs="Arial"/>
          <w:kern w:val="2"/>
          <w:lang w:val="sr-Cyrl-RS"/>
          <w14:ligatures w14:val="standardContextual"/>
        </w:rPr>
        <w:t>П</w:t>
      </w:r>
      <w:r w:rsidR="00977CE9">
        <w:rPr>
          <w:rFonts w:ascii="Arial" w:eastAsia="Calibri" w:hAnsi="Arial" w:cs="Arial"/>
          <w:kern w:val="2"/>
          <w:lang w:val="sr-Cyrl-RS"/>
          <w14:ligatures w14:val="standardContextual"/>
        </w:rPr>
        <w:t xml:space="preserve">реосталих 55% чине предмети набавки за које наручиоци нису у обавези да примене критеријум који није заснован само на цени. Графички приказ ових </w:t>
      </w:r>
      <w:r w:rsidR="0042634A">
        <w:rPr>
          <w:rFonts w:ascii="Arial" w:eastAsia="Calibri" w:hAnsi="Arial" w:cs="Arial"/>
          <w:kern w:val="2"/>
          <w:lang w:val="sr-Cyrl-RS"/>
          <w14:ligatures w14:val="standardContextual"/>
        </w:rPr>
        <w:t xml:space="preserve">предмета </w:t>
      </w:r>
      <w:r w:rsidR="00317BF8">
        <w:rPr>
          <w:rFonts w:ascii="Arial" w:eastAsia="Calibri" w:hAnsi="Arial" w:cs="Arial"/>
          <w:kern w:val="2"/>
          <w:lang w:val="sr-Cyrl-RS"/>
          <w14:ligatures w14:val="standardContextual"/>
        </w:rPr>
        <w:t>набавки</w:t>
      </w:r>
      <w:r w:rsidR="00977CE9">
        <w:rPr>
          <w:rFonts w:ascii="Arial" w:eastAsia="Calibri" w:hAnsi="Arial" w:cs="Arial"/>
          <w:kern w:val="2"/>
          <w:lang w:val="sr-Cyrl-RS"/>
          <w14:ligatures w14:val="standardContextual"/>
        </w:rPr>
        <w:t xml:space="preserve"> дат је у наставку.</w:t>
      </w:r>
    </w:p>
    <w:p w14:paraId="0E47BC7E"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16BD9B10" w14:textId="32B7329D" w:rsidR="009C35B6" w:rsidRPr="009C35B6" w:rsidRDefault="00E82084" w:rsidP="009C35B6">
      <w:pPr>
        <w:spacing w:after="160" w:line="276" w:lineRule="auto"/>
        <w:jc w:val="both"/>
        <w:rPr>
          <w:rFonts w:ascii="Arial" w:eastAsia="Calibri" w:hAnsi="Arial" w:cs="Arial"/>
          <w:kern w:val="2"/>
          <w:lang w:val="sr-Cyrl-RS"/>
          <w14:ligatures w14:val="standardContextual"/>
        </w:rPr>
      </w:pPr>
      <w:r>
        <w:rPr>
          <w:rFonts w:ascii="Arial" w:eastAsia="Calibri" w:hAnsi="Arial" w:cs="Arial"/>
          <w:noProof/>
          <w:kern w:val="2"/>
        </w:rPr>
        <w:drawing>
          <wp:inline distT="0" distB="0" distL="0" distR="0" wp14:anchorId="391D784B" wp14:editId="56CB72B4">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F26718"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2869B2A0"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79F672B9" w14:textId="7B36C4AF" w:rsidR="009C35B6" w:rsidRDefault="009C35B6" w:rsidP="009C35B6">
      <w:pPr>
        <w:spacing w:after="160" w:line="276" w:lineRule="auto"/>
        <w:jc w:val="both"/>
        <w:rPr>
          <w:rFonts w:ascii="Arial" w:eastAsia="Calibri" w:hAnsi="Arial" w:cs="Arial"/>
          <w:kern w:val="2"/>
          <w:lang w:val="sr-Cyrl-RS"/>
          <w14:ligatures w14:val="standardContextual"/>
        </w:rPr>
      </w:pPr>
    </w:p>
    <w:p w14:paraId="7F2470D8" w14:textId="77777777" w:rsidR="0042634A" w:rsidRPr="009C35B6" w:rsidRDefault="0042634A" w:rsidP="009C35B6">
      <w:pPr>
        <w:spacing w:after="160" w:line="276" w:lineRule="auto"/>
        <w:jc w:val="both"/>
        <w:rPr>
          <w:rFonts w:ascii="Arial" w:eastAsia="Calibri" w:hAnsi="Arial" w:cs="Arial"/>
          <w:kern w:val="2"/>
          <w:lang w:val="sr-Cyrl-RS"/>
          <w14:ligatures w14:val="standardContextual"/>
        </w:rPr>
      </w:pPr>
    </w:p>
    <w:p w14:paraId="7E9C28CD" w14:textId="65487E6C" w:rsidR="009C35B6" w:rsidRDefault="009C35B6" w:rsidP="009C35B6">
      <w:pPr>
        <w:spacing w:after="160" w:line="276" w:lineRule="auto"/>
        <w:jc w:val="both"/>
        <w:rPr>
          <w:rFonts w:ascii="Arial" w:eastAsia="Calibri" w:hAnsi="Arial" w:cs="Arial"/>
          <w:kern w:val="2"/>
          <w:lang w:val="sr-Cyrl-RS"/>
          <w14:ligatures w14:val="standardContextual"/>
        </w:rPr>
      </w:pPr>
    </w:p>
    <w:p w14:paraId="36BFD5F2" w14:textId="16E5F402" w:rsidR="009C35B6" w:rsidRPr="0071780D" w:rsidRDefault="009C35B6" w:rsidP="00696018">
      <w:pPr>
        <w:pStyle w:val="Heading1"/>
        <w:jc w:val="center"/>
        <w:rPr>
          <w:rFonts w:eastAsia="Calibri"/>
          <w:lang w:val="ru-RU"/>
        </w:rPr>
      </w:pPr>
      <w:bookmarkStart w:id="2" w:name="_Toc184988053"/>
      <w:r w:rsidRPr="0071780D">
        <w:rPr>
          <w:rFonts w:eastAsia="Calibri"/>
          <w:lang w:val="ru-RU"/>
        </w:rPr>
        <w:lastRenderedPageBreak/>
        <w:t>3. ПРИМЕРИ ДОБРЕ ПРАКСЕ</w:t>
      </w:r>
      <w:bookmarkEnd w:id="2"/>
    </w:p>
    <w:p w14:paraId="787F7323" w14:textId="77777777" w:rsidR="009C35B6" w:rsidRPr="009C35B6" w:rsidRDefault="009C35B6" w:rsidP="009C35B6">
      <w:pPr>
        <w:spacing w:line="276" w:lineRule="auto"/>
        <w:jc w:val="center"/>
        <w:rPr>
          <w:rFonts w:ascii="Arial" w:eastAsia="Calibri" w:hAnsi="Arial" w:cs="Arial"/>
          <w:b/>
          <w:bCs/>
          <w:kern w:val="2"/>
          <w:lang w:val="sr-Cyrl-RS"/>
          <w14:ligatures w14:val="standardContextual"/>
        </w:rPr>
      </w:pPr>
    </w:p>
    <w:p w14:paraId="4C70F7D5"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b/>
          <w:bCs/>
          <w:kern w:val="2"/>
          <w:lang w:val="sr-Cyrl-RS"/>
          <w14:ligatures w14:val="standardContextual"/>
        </w:rPr>
        <w:tab/>
      </w:r>
      <w:r w:rsidRPr="009C35B6">
        <w:rPr>
          <w:rFonts w:ascii="Arial" w:eastAsia="Calibri" w:hAnsi="Arial" w:cs="Arial"/>
          <w:kern w:val="2"/>
          <w:lang w:val="sr-Cyrl-RS"/>
          <w14:ligatures w14:val="standardContextual"/>
        </w:rPr>
        <w:t>У наставку ове анализе представљени су примери добре праксе примене критеријума за доделу уговора који није заснован само на цени.</w:t>
      </w:r>
      <w:r w:rsidRPr="009C35B6">
        <w:rPr>
          <w:rFonts w:ascii="Arial" w:eastAsia="Calibri" w:hAnsi="Arial" w:cs="Arial"/>
          <w:kern w:val="2"/>
          <w:vertAlign w:val="superscript"/>
          <w:lang w:val="sr-Cyrl-RS"/>
          <w14:ligatures w14:val="standardContextual"/>
        </w:rPr>
        <w:footnoteReference w:id="5"/>
      </w:r>
    </w:p>
    <w:p w14:paraId="24E0726F"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Реч је о следећим предметима набавки:</w:t>
      </w:r>
    </w:p>
    <w:p w14:paraId="5192CDD0" w14:textId="77777777"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p w14:paraId="07EE74F7" w14:textId="77777777"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p w14:paraId="6209D762"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noProof/>
          <w:kern w:val="2"/>
          <w14:ligatures w14:val="standardContextual"/>
        </w:rPr>
        <mc:AlternateContent>
          <mc:Choice Requires="wps">
            <w:drawing>
              <wp:anchor distT="0" distB="0" distL="114300" distR="114300" simplePos="0" relativeHeight="251659264" behindDoc="0" locked="0" layoutInCell="1" allowOverlap="1" wp14:anchorId="421A3BE9" wp14:editId="0379428C">
                <wp:simplePos x="0" y="0"/>
                <wp:positionH relativeFrom="margin">
                  <wp:posOffset>449580</wp:posOffset>
                </wp:positionH>
                <wp:positionV relativeFrom="paragraph">
                  <wp:posOffset>41910</wp:posOffset>
                </wp:positionV>
                <wp:extent cx="2209800" cy="1104900"/>
                <wp:effectExtent l="0" t="0" r="0" b="0"/>
                <wp:wrapNone/>
                <wp:docPr id="476088015" name="Rectangle 1"/>
                <wp:cNvGraphicFramePr/>
                <a:graphic xmlns:a="http://schemas.openxmlformats.org/drawingml/2006/main">
                  <a:graphicData uri="http://schemas.microsoft.com/office/word/2010/wordprocessingShape">
                    <wps:wsp>
                      <wps:cNvSpPr/>
                      <wps:spPr>
                        <a:xfrm>
                          <a:off x="0" y="0"/>
                          <a:ext cx="2209800" cy="1104900"/>
                        </a:xfrm>
                        <a:prstGeom prst="rect">
                          <a:avLst/>
                        </a:prstGeom>
                        <a:solidFill>
                          <a:srgbClr val="4AB5C4">
                            <a:lumMod val="40000"/>
                            <a:lumOff val="60000"/>
                          </a:srgbClr>
                        </a:solidFill>
                        <a:ln w="6350" cap="flat" cmpd="sng" algn="ctr">
                          <a:noFill/>
                          <a:prstDash val="solid"/>
                          <a:miter lim="800000"/>
                        </a:ln>
                        <a:effectLst/>
                      </wps:spPr>
                      <wps:txbx>
                        <w:txbxContent>
                          <w:p w14:paraId="49E15382" w14:textId="77777777" w:rsidR="00696018" w:rsidRPr="009C35B6" w:rsidRDefault="00696018" w:rsidP="009C35B6">
                            <w:pPr>
                              <w:spacing w:before="240" w:line="276" w:lineRule="auto"/>
                              <w:jc w:val="center"/>
                              <w:rPr>
                                <w:rFonts w:ascii="Arial" w:hAnsi="Arial" w:cs="Arial"/>
                                <w:b/>
                                <w:bCs/>
                                <w:color w:val="000000"/>
                                <w:lang w:val="sr-Cyrl-RS"/>
                              </w:rPr>
                            </w:pPr>
                            <w:r w:rsidRPr="009C35B6">
                              <w:rPr>
                                <w:rFonts w:ascii="Arial" w:hAnsi="Arial" w:cs="Arial"/>
                                <w:b/>
                                <w:bCs/>
                                <w:color w:val="000000"/>
                                <w:lang w:val="ru-RU"/>
                              </w:rPr>
                              <w:t xml:space="preserve">3.1. </w:t>
                            </w:r>
                            <w:r w:rsidRPr="009C35B6">
                              <w:rPr>
                                <w:rFonts w:ascii="Arial" w:hAnsi="Arial" w:cs="Arial"/>
                                <w:b/>
                                <w:bCs/>
                                <w:color w:val="000000"/>
                                <w:lang w:val="sr-Cyrl-RS"/>
                              </w:rPr>
                              <w:t>Саветодавне и правне услуге у области корпоративног управљања</w:t>
                            </w:r>
                          </w:p>
                          <w:p w14:paraId="644D7339" w14:textId="77777777" w:rsidR="00696018" w:rsidRPr="009C35B6" w:rsidRDefault="00696018" w:rsidP="009C35B6">
                            <w:pPr>
                              <w:jc w:val="center"/>
                              <w:rPr>
                                <w:rFonts w:ascii="Arial" w:hAnsi="Arial" w:cs="Arial"/>
                                <w:b/>
                                <w:bCs/>
                                <w:color w:val="000000"/>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A3BE9" id="Rectangle 1" o:spid="_x0000_s1026" style="position:absolute;left:0;text-align:left;margin-left:35.4pt;margin-top:3.3pt;width:174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" fillcolor="#b7e1e7" stroked="f" strokeweight=".5pt">
                <v:textbox>
                  <w:txbxContent>
                    <w:p w14:paraId="49E15382" w14:textId="77777777" w:rsidR="00696018" w:rsidRPr="009C35B6" w:rsidRDefault="00696018" w:rsidP="009C35B6">
                      <w:pPr>
                        <w:spacing w:before="240" w:line="276" w:lineRule="auto"/>
                        <w:jc w:val="center"/>
                        <w:rPr>
                          <w:rFonts w:ascii="Arial" w:hAnsi="Arial" w:cs="Arial"/>
                          <w:b/>
                          <w:bCs/>
                          <w:color w:val="000000"/>
                          <w:lang w:val="sr-Cyrl-RS"/>
                        </w:rPr>
                      </w:pPr>
                      <w:r w:rsidRPr="009C35B6">
                        <w:rPr>
                          <w:rFonts w:ascii="Arial" w:hAnsi="Arial" w:cs="Arial"/>
                          <w:b/>
                          <w:bCs/>
                          <w:color w:val="000000"/>
                          <w:lang w:val="ru-RU"/>
                        </w:rPr>
                        <w:t xml:space="preserve">3.1. </w:t>
                      </w:r>
                      <w:r w:rsidRPr="009C35B6">
                        <w:rPr>
                          <w:rFonts w:ascii="Arial" w:hAnsi="Arial" w:cs="Arial"/>
                          <w:b/>
                          <w:bCs/>
                          <w:color w:val="000000"/>
                          <w:lang w:val="sr-Cyrl-RS"/>
                        </w:rPr>
                        <w:t>Саветодавне и правне услуге у области корпоративног управљања</w:t>
                      </w:r>
                    </w:p>
                    <w:p w14:paraId="644D7339" w14:textId="77777777" w:rsidR="00696018" w:rsidRPr="009C35B6" w:rsidRDefault="00696018" w:rsidP="009C35B6">
                      <w:pPr>
                        <w:jc w:val="center"/>
                        <w:rPr>
                          <w:rFonts w:ascii="Arial" w:hAnsi="Arial" w:cs="Arial"/>
                          <w:b/>
                          <w:bCs/>
                          <w:color w:val="000000"/>
                          <w:lang w:val="sr-Cyrl-RS"/>
                        </w:rPr>
                      </w:pPr>
                    </w:p>
                  </w:txbxContent>
                </v:textbox>
                <w10:wrap anchorx="margin"/>
              </v:rect>
            </w:pict>
          </mc:Fallback>
        </mc:AlternateContent>
      </w:r>
      <w:r w:rsidRPr="009C35B6">
        <w:rPr>
          <w:rFonts w:ascii="Arial" w:eastAsia="Calibri" w:hAnsi="Arial" w:cs="Arial"/>
          <w:noProof/>
          <w:kern w:val="2"/>
          <w14:ligatures w14:val="standardContextual"/>
        </w:rPr>
        <mc:AlternateContent>
          <mc:Choice Requires="wps">
            <w:drawing>
              <wp:anchor distT="0" distB="0" distL="114300" distR="114300" simplePos="0" relativeHeight="251660288" behindDoc="0" locked="0" layoutInCell="1" allowOverlap="1" wp14:anchorId="5DFAB3B9" wp14:editId="75CDA941">
                <wp:simplePos x="0" y="0"/>
                <wp:positionH relativeFrom="column">
                  <wp:posOffset>3429000</wp:posOffset>
                </wp:positionH>
                <wp:positionV relativeFrom="paragraph">
                  <wp:posOffset>41910</wp:posOffset>
                </wp:positionV>
                <wp:extent cx="2103120" cy="1097280"/>
                <wp:effectExtent l="0" t="0" r="0" b="7620"/>
                <wp:wrapNone/>
                <wp:docPr id="77060452" name="Rectangle 2"/>
                <wp:cNvGraphicFramePr/>
                <a:graphic xmlns:a="http://schemas.openxmlformats.org/drawingml/2006/main">
                  <a:graphicData uri="http://schemas.microsoft.com/office/word/2010/wordprocessingShape">
                    <wps:wsp>
                      <wps:cNvSpPr/>
                      <wps:spPr>
                        <a:xfrm>
                          <a:off x="0" y="0"/>
                          <a:ext cx="2103120" cy="1097280"/>
                        </a:xfrm>
                        <a:prstGeom prst="rect">
                          <a:avLst/>
                        </a:prstGeom>
                        <a:solidFill>
                          <a:srgbClr val="4AB5C4">
                            <a:lumMod val="40000"/>
                            <a:lumOff val="60000"/>
                          </a:srgbClr>
                        </a:solidFill>
                        <a:ln w="6350" cap="flat" cmpd="sng" algn="ctr">
                          <a:noFill/>
                          <a:prstDash val="solid"/>
                          <a:miter lim="800000"/>
                        </a:ln>
                        <a:effectLst/>
                      </wps:spPr>
                      <wps:txbx>
                        <w:txbxContent>
                          <w:p w14:paraId="5C7DB41F"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3.2. </w:t>
                            </w:r>
                            <w:r w:rsidRPr="009C35B6">
                              <w:rPr>
                                <w:rFonts w:ascii="Arial" w:hAnsi="Arial" w:cs="Arial"/>
                                <w:b/>
                                <w:bCs/>
                                <w:color w:val="000000"/>
                                <w:lang w:val="sr-Cyrl-RS"/>
                              </w:rPr>
                              <w:t>Услуга вештачења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AB3B9" id="Rectangle 2" o:spid="_x0000_s1027" style="position:absolute;left:0;text-align:left;margin-left:270pt;margin-top:3.3pt;width:165.6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" fillcolor="#b7e1e7" stroked="f" strokeweight=".5pt">
                <v:textbox>
                  <w:txbxContent>
                    <w:p w14:paraId="5C7DB41F"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3.2. </w:t>
                      </w:r>
                      <w:r w:rsidRPr="009C35B6">
                        <w:rPr>
                          <w:rFonts w:ascii="Arial" w:hAnsi="Arial" w:cs="Arial"/>
                          <w:b/>
                          <w:bCs/>
                          <w:color w:val="000000"/>
                          <w:lang w:val="sr-Cyrl-RS"/>
                        </w:rPr>
                        <w:t>Услуга вештачења</w:t>
                      </w:r>
                    </w:p>
                  </w:txbxContent>
                </v:textbox>
              </v:rect>
            </w:pict>
          </mc:Fallback>
        </mc:AlternateContent>
      </w:r>
      <w:r w:rsidRPr="009C35B6">
        <w:rPr>
          <w:rFonts w:ascii="Arial" w:eastAsia="Calibri" w:hAnsi="Arial" w:cs="Arial"/>
          <w:noProof/>
          <w:kern w:val="2"/>
          <w14:ligatures w14:val="standardContextual"/>
        </w:rPr>
        <mc:AlternateContent>
          <mc:Choice Requires="wps">
            <w:drawing>
              <wp:anchor distT="0" distB="0" distL="114300" distR="114300" simplePos="0" relativeHeight="251662336" behindDoc="0" locked="0" layoutInCell="1" allowOverlap="1" wp14:anchorId="6DE315C7" wp14:editId="3BC7542D">
                <wp:simplePos x="0" y="0"/>
                <wp:positionH relativeFrom="column">
                  <wp:posOffset>3390900</wp:posOffset>
                </wp:positionH>
                <wp:positionV relativeFrom="paragraph">
                  <wp:posOffset>1497330</wp:posOffset>
                </wp:positionV>
                <wp:extent cx="2087880" cy="1089660"/>
                <wp:effectExtent l="0" t="0" r="7620" b="0"/>
                <wp:wrapNone/>
                <wp:docPr id="748437982" name="Rectangle 4"/>
                <wp:cNvGraphicFramePr/>
                <a:graphic xmlns:a="http://schemas.openxmlformats.org/drawingml/2006/main">
                  <a:graphicData uri="http://schemas.microsoft.com/office/word/2010/wordprocessingShape">
                    <wps:wsp>
                      <wps:cNvSpPr/>
                      <wps:spPr>
                        <a:xfrm>
                          <a:off x="0" y="0"/>
                          <a:ext cx="2087880" cy="1089660"/>
                        </a:xfrm>
                        <a:prstGeom prst="rect">
                          <a:avLst/>
                        </a:prstGeom>
                        <a:solidFill>
                          <a:srgbClr val="549E39">
                            <a:lumMod val="20000"/>
                            <a:lumOff val="80000"/>
                          </a:srgbClr>
                        </a:solidFill>
                        <a:ln w="6350" cap="flat" cmpd="sng" algn="ctr">
                          <a:noFill/>
                          <a:prstDash val="solid"/>
                          <a:miter lim="800000"/>
                        </a:ln>
                        <a:effectLst/>
                      </wps:spPr>
                      <wps:txbx>
                        <w:txbxContent>
                          <w:p w14:paraId="44FE2A09"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3.4. </w:t>
                            </w:r>
                            <w:r w:rsidRPr="009C35B6">
                              <w:rPr>
                                <w:rFonts w:ascii="Arial" w:hAnsi="Arial" w:cs="Arial"/>
                                <w:b/>
                                <w:bCs/>
                                <w:color w:val="000000"/>
                                <w:lang w:val="sr-Cyrl-RS"/>
                              </w:rPr>
                              <w:t>Гориво за моторна возила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315C7" id="Rectangle 4" o:spid="_x0000_s1028" style="position:absolute;left:0;text-align:left;margin-left:267pt;margin-top:117.9pt;width:164.4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" fillcolor="#dbefd4" stroked="f" strokeweight=".5pt">
                <v:textbox>
                  <w:txbxContent>
                    <w:p w14:paraId="44FE2A09"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3.4. </w:t>
                      </w:r>
                      <w:r w:rsidRPr="009C35B6">
                        <w:rPr>
                          <w:rFonts w:ascii="Arial" w:hAnsi="Arial" w:cs="Arial"/>
                          <w:b/>
                          <w:bCs/>
                          <w:color w:val="000000"/>
                          <w:lang w:val="sr-Cyrl-RS"/>
                        </w:rPr>
                        <w:t>Гориво за моторна возила</w:t>
                      </w:r>
                    </w:p>
                  </w:txbxContent>
                </v:textbox>
              </v:rect>
            </w:pict>
          </mc:Fallback>
        </mc:AlternateContent>
      </w:r>
    </w:p>
    <w:p w14:paraId="2E98B886"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33EBB210"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741AF14B"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48A7B026"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641D7CD7" w14:textId="77777777" w:rsidR="009C35B6" w:rsidRPr="009C35B6" w:rsidRDefault="009C35B6" w:rsidP="009C35B6">
      <w:pPr>
        <w:spacing w:after="160" w:line="276" w:lineRule="auto"/>
        <w:rPr>
          <w:rFonts w:ascii="Arial" w:eastAsia="Calibri" w:hAnsi="Arial" w:cs="Arial"/>
          <w:kern w:val="2"/>
          <w:lang w:val="sr-Cyrl-RS"/>
          <w14:ligatures w14:val="standardContextual"/>
        </w:rPr>
      </w:pPr>
      <w:r w:rsidRPr="009C35B6">
        <w:rPr>
          <w:rFonts w:ascii="Arial" w:eastAsia="Calibri" w:hAnsi="Arial" w:cs="Arial"/>
          <w:noProof/>
          <w:kern w:val="2"/>
          <w14:ligatures w14:val="standardContextual"/>
        </w:rPr>
        <mc:AlternateContent>
          <mc:Choice Requires="wps">
            <w:drawing>
              <wp:anchor distT="0" distB="0" distL="114300" distR="114300" simplePos="0" relativeHeight="251661312" behindDoc="0" locked="0" layoutInCell="1" allowOverlap="1" wp14:anchorId="68F516F1" wp14:editId="1D7DF82A">
                <wp:simplePos x="0" y="0"/>
                <wp:positionH relativeFrom="column">
                  <wp:posOffset>441960</wp:posOffset>
                </wp:positionH>
                <wp:positionV relativeFrom="paragraph">
                  <wp:posOffset>20320</wp:posOffset>
                </wp:positionV>
                <wp:extent cx="2194560" cy="1082040"/>
                <wp:effectExtent l="0" t="0" r="0" b="3810"/>
                <wp:wrapNone/>
                <wp:docPr id="385113832" name="Rectangle 3"/>
                <wp:cNvGraphicFramePr/>
                <a:graphic xmlns:a="http://schemas.openxmlformats.org/drawingml/2006/main">
                  <a:graphicData uri="http://schemas.microsoft.com/office/word/2010/wordprocessingShape">
                    <wps:wsp>
                      <wps:cNvSpPr/>
                      <wps:spPr>
                        <a:xfrm>
                          <a:off x="0" y="0"/>
                          <a:ext cx="2194560" cy="1082040"/>
                        </a:xfrm>
                        <a:prstGeom prst="rect">
                          <a:avLst/>
                        </a:prstGeom>
                        <a:solidFill>
                          <a:srgbClr val="549E39">
                            <a:lumMod val="20000"/>
                            <a:lumOff val="80000"/>
                          </a:srgbClr>
                        </a:solidFill>
                        <a:ln w="6350" cap="flat" cmpd="sng" algn="ctr">
                          <a:noFill/>
                          <a:prstDash val="solid"/>
                          <a:miter lim="800000"/>
                        </a:ln>
                        <a:effectLst/>
                      </wps:spPr>
                      <wps:txbx>
                        <w:txbxContent>
                          <w:p w14:paraId="317663AE"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3.3. Услуга техничке контроле техничк</w:t>
                            </w:r>
                            <w:r w:rsidRPr="009C35B6">
                              <w:rPr>
                                <w:rFonts w:ascii="Arial" w:hAnsi="Arial" w:cs="Arial"/>
                                <w:b/>
                                <w:bCs/>
                                <w:color w:val="000000"/>
                                <w:lang w:val="sr-Cyrl-RS"/>
                              </w:rPr>
                              <w:t xml:space="preserve">е </w:t>
                            </w:r>
                            <w:r w:rsidRPr="009C35B6">
                              <w:rPr>
                                <w:rFonts w:ascii="Arial" w:hAnsi="Arial" w:cs="Arial"/>
                                <w:b/>
                                <w:bCs/>
                                <w:color w:val="000000"/>
                              </w:rPr>
                              <w:t>документациј</w:t>
                            </w:r>
                            <w:r w:rsidRPr="009C35B6">
                              <w:rPr>
                                <w:rFonts w:ascii="Arial" w:hAnsi="Arial" w:cs="Arial"/>
                                <w:b/>
                                <w:bCs/>
                                <w:color w:val="000000"/>
                                <w:lang w:val="sr-Cyrl-RS"/>
                              </w:rPr>
                              <w:t>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16F1" id="Rectangle 3" o:spid="_x0000_s1029" style="position:absolute;margin-left:34.8pt;margin-top:1.6pt;width:172.8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" fillcolor="#dbefd4" stroked="f" strokeweight=".5pt">
                <v:textbox>
                  <w:txbxContent>
                    <w:p w14:paraId="317663AE"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3.3. Услуга техничке контроле техничк</w:t>
                      </w:r>
                      <w:r w:rsidRPr="009C35B6">
                        <w:rPr>
                          <w:rFonts w:ascii="Arial" w:hAnsi="Arial" w:cs="Arial"/>
                          <w:b/>
                          <w:bCs/>
                          <w:color w:val="000000"/>
                          <w:lang w:val="sr-Cyrl-RS"/>
                        </w:rPr>
                        <w:t xml:space="preserve">е </w:t>
                      </w:r>
                      <w:r w:rsidRPr="009C35B6">
                        <w:rPr>
                          <w:rFonts w:ascii="Arial" w:hAnsi="Arial" w:cs="Arial"/>
                          <w:b/>
                          <w:bCs/>
                          <w:color w:val="000000"/>
                        </w:rPr>
                        <w:t>документациј</w:t>
                      </w:r>
                      <w:r w:rsidRPr="009C35B6">
                        <w:rPr>
                          <w:rFonts w:ascii="Arial" w:hAnsi="Arial" w:cs="Arial"/>
                          <w:b/>
                          <w:bCs/>
                          <w:color w:val="000000"/>
                          <w:lang w:val="sr-Cyrl-RS"/>
                        </w:rPr>
                        <w:t>е</w:t>
                      </w:r>
                    </w:p>
                  </w:txbxContent>
                </v:textbox>
              </v:rect>
            </w:pict>
          </mc:Fallback>
        </mc:AlternateContent>
      </w:r>
    </w:p>
    <w:p w14:paraId="5A4B388B"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12C510AE"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2D1D9112"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6253194F" w14:textId="77777777" w:rsidR="009C35B6" w:rsidRPr="009C35B6" w:rsidRDefault="009C35B6" w:rsidP="009C35B6">
      <w:pPr>
        <w:spacing w:after="160" w:line="276" w:lineRule="auto"/>
        <w:rPr>
          <w:rFonts w:ascii="Arial" w:eastAsia="Calibri" w:hAnsi="Arial" w:cs="Arial"/>
          <w:kern w:val="2"/>
          <w:lang w:val="sr-Cyrl-RS"/>
          <w14:ligatures w14:val="standardContextual"/>
        </w:rPr>
      </w:pPr>
      <w:r w:rsidRPr="009C35B6">
        <w:rPr>
          <w:rFonts w:ascii="Arial" w:eastAsia="Calibri" w:hAnsi="Arial" w:cs="Arial"/>
          <w:noProof/>
          <w:kern w:val="2"/>
          <w14:ligatures w14:val="standardContextual"/>
        </w:rPr>
        <mc:AlternateContent>
          <mc:Choice Requires="wps">
            <w:drawing>
              <wp:anchor distT="0" distB="0" distL="114300" distR="114300" simplePos="0" relativeHeight="251664384" behindDoc="0" locked="0" layoutInCell="1" allowOverlap="1" wp14:anchorId="04A62A38" wp14:editId="75AE5A57">
                <wp:simplePos x="0" y="0"/>
                <wp:positionH relativeFrom="column">
                  <wp:posOffset>3398520</wp:posOffset>
                </wp:positionH>
                <wp:positionV relativeFrom="paragraph">
                  <wp:posOffset>285750</wp:posOffset>
                </wp:positionV>
                <wp:extent cx="2110740" cy="1158240"/>
                <wp:effectExtent l="0" t="0" r="3810" b="3810"/>
                <wp:wrapNone/>
                <wp:docPr id="401807618" name="Rectangle 6"/>
                <wp:cNvGraphicFramePr/>
                <a:graphic xmlns:a="http://schemas.openxmlformats.org/drawingml/2006/main">
                  <a:graphicData uri="http://schemas.microsoft.com/office/word/2010/wordprocessingShape">
                    <wps:wsp>
                      <wps:cNvSpPr/>
                      <wps:spPr>
                        <a:xfrm>
                          <a:off x="0" y="0"/>
                          <a:ext cx="2110740" cy="1158240"/>
                        </a:xfrm>
                        <a:prstGeom prst="rect">
                          <a:avLst/>
                        </a:prstGeom>
                        <a:solidFill>
                          <a:srgbClr val="4AB5C4">
                            <a:lumMod val="40000"/>
                            <a:lumOff val="60000"/>
                          </a:srgbClr>
                        </a:solidFill>
                        <a:ln w="12700" cap="flat" cmpd="sng" algn="ctr">
                          <a:noFill/>
                          <a:prstDash val="solid"/>
                          <a:miter lim="800000"/>
                        </a:ln>
                        <a:effectLst/>
                      </wps:spPr>
                      <wps:txbx>
                        <w:txbxContent>
                          <w:p w14:paraId="598B36F8"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lang w:val="ru-RU"/>
                              </w:rPr>
                              <w:t xml:space="preserve">3.6. </w:t>
                            </w:r>
                            <w:r w:rsidRPr="009C35B6">
                              <w:rPr>
                                <w:rFonts w:ascii="Arial" w:hAnsi="Arial" w:cs="Arial"/>
                                <w:b/>
                                <w:bCs/>
                                <w:color w:val="000000"/>
                                <w:lang w:val="sr-Cyrl-RS"/>
                              </w:rPr>
                              <w:t>Услуге превођења стручне литературе и ауторских текстова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62A38" id="Rectangle 6" o:spid="_x0000_s1030" style="position:absolute;margin-left:267.6pt;margin-top:22.5pt;width:166.2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" fillcolor="#b7e1e7" stroked="f" strokeweight="1pt">
                <v:textbox>
                  <w:txbxContent>
                    <w:p w14:paraId="598B36F8"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lang w:val="ru-RU"/>
                        </w:rPr>
                        <w:t xml:space="preserve">3.6. </w:t>
                      </w:r>
                      <w:r w:rsidRPr="009C35B6">
                        <w:rPr>
                          <w:rFonts w:ascii="Arial" w:hAnsi="Arial" w:cs="Arial"/>
                          <w:b/>
                          <w:bCs/>
                          <w:color w:val="000000"/>
                          <w:lang w:val="sr-Cyrl-RS"/>
                        </w:rPr>
                        <w:t>Услуге превођења стручне литературе и ауторских текстова</w:t>
                      </w:r>
                    </w:p>
                  </w:txbxContent>
                </v:textbox>
              </v:rect>
            </w:pict>
          </mc:Fallback>
        </mc:AlternateContent>
      </w:r>
      <w:r w:rsidRPr="009C35B6">
        <w:rPr>
          <w:rFonts w:ascii="Arial" w:eastAsia="Calibri" w:hAnsi="Arial" w:cs="Arial"/>
          <w:noProof/>
          <w:kern w:val="2"/>
          <w14:ligatures w14:val="standardContextual"/>
        </w:rPr>
        <mc:AlternateContent>
          <mc:Choice Requires="wps">
            <w:drawing>
              <wp:anchor distT="0" distB="0" distL="114300" distR="114300" simplePos="0" relativeHeight="251663360" behindDoc="0" locked="0" layoutInCell="1" allowOverlap="1" wp14:anchorId="3CCCBE0E" wp14:editId="15A40212">
                <wp:simplePos x="0" y="0"/>
                <wp:positionH relativeFrom="column">
                  <wp:posOffset>434340</wp:posOffset>
                </wp:positionH>
                <wp:positionV relativeFrom="paragraph">
                  <wp:posOffset>300990</wp:posOffset>
                </wp:positionV>
                <wp:extent cx="2186940" cy="1135380"/>
                <wp:effectExtent l="0" t="0" r="3810" b="7620"/>
                <wp:wrapNone/>
                <wp:docPr id="600396487" name="Rectangle 5"/>
                <wp:cNvGraphicFramePr/>
                <a:graphic xmlns:a="http://schemas.openxmlformats.org/drawingml/2006/main">
                  <a:graphicData uri="http://schemas.microsoft.com/office/word/2010/wordprocessingShape">
                    <wps:wsp>
                      <wps:cNvSpPr/>
                      <wps:spPr>
                        <a:xfrm>
                          <a:off x="0" y="0"/>
                          <a:ext cx="2186940" cy="1135380"/>
                        </a:xfrm>
                        <a:prstGeom prst="rect">
                          <a:avLst/>
                        </a:prstGeom>
                        <a:solidFill>
                          <a:srgbClr val="4AB5C4">
                            <a:lumMod val="40000"/>
                            <a:lumOff val="60000"/>
                          </a:srgbClr>
                        </a:solidFill>
                        <a:ln w="6350" cap="flat" cmpd="sng" algn="ctr">
                          <a:noFill/>
                          <a:prstDash val="solid"/>
                          <a:miter lim="800000"/>
                        </a:ln>
                        <a:effectLst/>
                      </wps:spPr>
                      <wps:txbx>
                        <w:txbxContent>
                          <w:p w14:paraId="4C9C4A16"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3.5. </w:t>
                            </w:r>
                            <w:r w:rsidRPr="009C35B6">
                              <w:rPr>
                                <w:rFonts w:ascii="Arial" w:hAnsi="Arial" w:cs="Arial"/>
                                <w:b/>
                                <w:bCs/>
                                <w:color w:val="000000"/>
                                <w:lang w:val="sr-Cyrl-RS"/>
                              </w:rPr>
                              <w:t>Услуге геодетских снимања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CBE0E" id="Rectangle 5" o:spid="_x0000_s1031" style="position:absolute;margin-left:34.2pt;margin-top:23.7pt;width:172.2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" fillcolor="#b7e1e7" stroked="f" strokeweight=".5pt">
                <v:textbox>
                  <w:txbxContent>
                    <w:p w14:paraId="4C9C4A16" w14:textId="77777777" w:rsidR="00696018" w:rsidRPr="009C35B6" w:rsidRDefault="00696018" w:rsidP="009C35B6">
                      <w:pPr>
                        <w:jc w:val="center"/>
                        <w:rPr>
                          <w:rFonts w:ascii="Arial" w:hAnsi="Arial" w:cs="Arial"/>
                          <w:b/>
                          <w:bCs/>
                          <w:color w:val="000000"/>
                          <w:lang w:val="sr-Cyrl-RS"/>
                        </w:rPr>
                      </w:pPr>
                      <w:r w:rsidRPr="009C35B6">
                        <w:rPr>
                          <w:rFonts w:ascii="Arial" w:hAnsi="Arial" w:cs="Arial"/>
                          <w:b/>
                          <w:bCs/>
                          <w:color w:val="000000"/>
                        </w:rPr>
                        <w:t xml:space="preserve">3.5. </w:t>
                      </w:r>
                      <w:r w:rsidRPr="009C35B6">
                        <w:rPr>
                          <w:rFonts w:ascii="Arial" w:hAnsi="Arial" w:cs="Arial"/>
                          <w:b/>
                          <w:bCs/>
                          <w:color w:val="000000"/>
                          <w:lang w:val="sr-Cyrl-RS"/>
                        </w:rPr>
                        <w:t>Услуге геодетских снимања</w:t>
                      </w:r>
                    </w:p>
                  </w:txbxContent>
                </v:textbox>
              </v:rect>
            </w:pict>
          </mc:Fallback>
        </mc:AlternateContent>
      </w:r>
    </w:p>
    <w:p w14:paraId="28FEC743"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512F2DD4"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19FE0BB7"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42141BF6"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188173DA"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3946309C"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54C3B646"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733480F4" w14:textId="362D3D2C" w:rsidR="009C35B6" w:rsidRDefault="009C35B6" w:rsidP="009C35B6">
      <w:pPr>
        <w:spacing w:after="160" w:line="276" w:lineRule="auto"/>
        <w:rPr>
          <w:rFonts w:ascii="Arial" w:eastAsia="Calibri" w:hAnsi="Arial" w:cs="Arial"/>
          <w:kern w:val="2"/>
          <w:lang w:val="sr-Cyrl-RS"/>
          <w14:ligatures w14:val="standardContextual"/>
        </w:rPr>
      </w:pPr>
    </w:p>
    <w:p w14:paraId="0090822D" w14:textId="30312095" w:rsidR="00696018" w:rsidRDefault="00696018" w:rsidP="009C35B6">
      <w:pPr>
        <w:spacing w:after="160" w:line="276" w:lineRule="auto"/>
        <w:rPr>
          <w:rFonts w:ascii="Arial" w:eastAsia="Calibri" w:hAnsi="Arial" w:cs="Arial"/>
          <w:kern w:val="2"/>
          <w:lang w:val="sr-Cyrl-RS"/>
          <w14:ligatures w14:val="standardContextual"/>
        </w:rPr>
      </w:pPr>
    </w:p>
    <w:p w14:paraId="47B64882" w14:textId="77777777" w:rsidR="00696018" w:rsidRDefault="00696018" w:rsidP="00696018">
      <w:pPr>
        <w:pStyle w:val="Heading2"/>
        <w:rPr>
          <w:rFonts w:ascii="Arial" w:eastAsia="Calibri" w:hAnsi="Arial" w:cs="Arial"/>
          <w:color w:val="0989B1"/>
          <w:kern w:val="2"/>
          <w:sz w:val="24"/>
          <w:szCs w:val="24"/>
          <w:lang w:val="sr-Cyrl-RS"/>
          <w14:ligatures w14:val="standardContextual"/>
        </w:rPr>
      </w:pPr>
    </w:p>
    <w:p w14:paraId="15D7E291" w14:textId="4E0CF10E" w:rsidR="00696018" w:rsidRPr="0071780D" w:rsidRDefault="009C35B6" w:rsidP="00D9691F">
      <w:pPr>
        <w:pStyle w:val="Heading2"/>
        <w:rPr>
          <w:rFonts w:eastAsia="Calibri"/>
          <w:lang w:val="ru-RU"/>
        </w:rPr>
      </w:pPr>
      <w:bookmarkStart w:id="3" w:name="_Toc184988054"/>
      <w:r w:rsidRPr="0071780D">
        <w:rPr>
          <w:rFonts w:eastAsia="Calibri"/>
          <w:lang w:val="ru-RU"/>
        </w:rPr>
        <w:lastRenderedPageBreak/>
        <w:t>3.1. САВЕТОДАВНЕ И ПРАВНЕ УСЛУГЕ У</w:t>
      </w:r>
      <w:bookmarkEnd w:id="3"/>
    </w:p>
    <w:p w14:paraId="01FD32C4" w14:textId="21D205B2" w:rsidR="009C35B6" w:rsidRDefault="009C35B6" w:rsidP="00D9691F">
      <w:pPr>
        <w:pStyle w:val="Heading2"/>
        <w:rPr>
          <w:rFonts w:eastAsia="Calibri"/>
          <w:lang w:val="sr-Cyrl-RS"/>
        </w:rPr>
      </w:pPr>
      <w:r w:rsidRPr="0071780D">
        <w:rPr>
          <w:rFonts w:eastAsia="Calibri"/>
          <w:lang w:val="ru-RU"/>
        </w:rPr>
        <w:t xml:space="preserve"> </w:t>
      </w:r>
      <w:bookmarkStart w:id="4" w:name="_Toc184988055"/>
      <w:r w:rsidRPr="0071780D">
        <w:rPr>
          <w:rFonts w:eastAsia="Calibri"/>
          <w:lang w:val="ru-RU"/>
        </w:rPr>
        <w:t>ОБЛАСТИ КОРПОРАТИВНОГ УПРАВЉАЊА</w:t>
      </w:r>
      <w:bookmarkEnd w:id="4"/>
    </w:p>
    <w:p w14:paraId="1E55140A" w14:textId="77777777" w:rsidR="00696018" w:rsidRPr="00696018" w:rsidRDefault="00696018" w:rsidP="00696018">
      <w:pPr>
        <w:pStyle w:val="Heading2"/>
        <w:rPr>
          <w:rFonts w:ascii="Arial" w:eastAsia="Calibri" w:hAnsi="Arial" w:cs="Arial"/>
          <w:color w:val="0989B1"/>
          <w:kern w:val="2"/>
          <w:sz w:val="24"/>
          <w:szCs w:val="24"/>
          <w:lang w:val="sr-Cyrl-RS"/>
          <w14:ligatures w14:val="standardContextual"/>
        </w:rPr>
      </w:pPr>
    </w:p>
    <w:p w14:paraId="699146A4"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Уопштено о предмету јавне набавке:</w:t>
      </w:r>
    </w:p>
    <w:p w14:paraId="054FFFB0"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Предмет јавне набавке представља пружање подршке у спровођењу процеса промене организационе структуре наручиоца (енергетски сектор).</w:t>
      </w:r>
    </w:p>
    <w:p w14:paraId="6910C1F3" w14:textId="77777777" w:rsidR="009C35B6" w:rsidRPr="009C35B6" w:rsidRDefault="009C35B6" w:rsidP="009C35B6">
      <w:pPr>
        <w:tabs>
          <w:tab w:val="left" w:pos="567"/>
        </w:tabs>
        <w:spacing w:after="160" w:line="276" w:lineRule="auto"/>
        <w:jc w:val="both"/>
        <w:rPr>
          <w:rFonts w:ascii="Arial" w:eastAsia="Calibri" w:hAnsi="Arial" w:cs="Arial"/>
          <w:iCs/>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iCs/>
          <w:kern w:val="2"/>
          <w:lang w:val="sr-Cyrl-RS"/>
          <w14:ligatures w14:val="standardContextual"/>
        </w:rPr>
        <w:t>Активности према пројектном задатку су следеће:</w:t>
      </w:r>
    </w:p>
    <w:p w14:paraId="42ED7E43" w14:textId="77777777"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Подршка у изради плана активности на имплементацији усвојених предлога аката о унутрашњој организацији и систематизацији послова;</w:t>
      </w:r>
    </w:p>
    <w:p w14:paraId="2C11BB44" w14:textId="77777777"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Подршка у изради плана активности на имплементацији усвојеног предлога методологије вредновања радних места код наручиоца; </w:t>
      </w:r>
    </w:p>
    <w:p w14:paraId="3F49DAE6" w14:textId="77777777"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Анализа достављених подлога за измену предлога аката и давање мишљења и смерница о потребним усаглашавањима у предлозима аката; </w:t>
      </w:r>
    </w:p>
    <w:p w14:paraId="0F5F7011" w14:textId="77777777"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Ажурирање усвојених предлога аката о унутрашњој организацији и систематизацији послова у складу са актуелним организационим потребама (статусне промене, промене циљне организационе структуре у појединим сегментима организације);</w:t>
      </w:r>
    </w:p>
    <w:p w14:paraId="5B5AECBA" w14:textId="77777777"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Усаглашавање усвојених предлога аката о унутрашњој организацији и систематизацији послова у складу са претходно наведеним променама;</w:t>
      </w:r>
    </w:p>
    <w:p w14:paraId="4A389062" w14:textId="77777777" w:rsidR="009C35B6" w:rsidRPr="009C35B6" w:rsidRDefault="009C35B6" w:rsidP="00341D3C">
      <w:pPr>
        <w:numPr>
          <w:ilvl w:val="0"/>
          <w:numId w:val="9"/>
        </w:numPr>
        <w:tabs>
          <w:tab w:val="left" w:pos="3228"/>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Усаглашавање усвојених предлога методологије вредновања радних места са претходно наведеним променама.</w:t>
      </w:r>
    </w:p>
    <w:p w14:paraId="7707E042" w14:textId="77777777" w:rsidR="009C35B6" w:rsidRPr="009C35B6" w:rsidRDefault="009C35B6" w:rsidP="009C35B6">
      <w:pPr>
        <w:tabs>
          <w:tab w:val="left" w:pos="3228"/>
        </w:tabs>
        <w:spacing w:line="276" w:lineRule="auto"/>
        <w:ind w:left="720"/>
        <w:jc w:val="both"/>
        <w:rPr>
          <w:rFonts w:ascii="Arial" w:eastAsia="Calibri" w:hAnsi="Arial" w:cs="Arial"/>
          <w:kern w:val="2"/>
          <w:lang w:val="sr-Cyrl-RS"/>
          <w14:ligatures w14:val="standardContextual"/>
        </w:rPr>
      </w:pPr>
    </w:p>
    <w:p w14:paraId="043329F5"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Критеријуми за избор привредног субјекта</w:t>
      </w:r>
    </w:p>
    <w:p w14:paraId="39DD57B9" w14:textId="5DB28F09"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 оквиру критеријума за избор привредног субјекта – образовне и стручне квалификације (члан 117. ЗЈН), наручилац је предвидео да понуђач има </w:t>
      </w:r>
      <w:r w:rsidRPr="009C35B6">
        <w:rPr>
          <w:rFonts w:ascii="Arial" w:eastAsia="Calibri" w:hAnsi="Arial" w:cs="Arial"/>
          <w:kern w:val="2"/>
          <w:lang w:val="ru-RU"/>
          <w14:ligatures w14:val="standardContextual"/>
        </w:rPr>
        <w:t>радно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основу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складу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одредбама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закона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уре</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права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обавезе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одговорности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радног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најма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5 дипломираних правника (1 руководилац пројекта и 4 члана пројектног тима).</w:t>
      </w:r>
    </w:p>
    <w:p w14:paraId="7B7B2520"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3E4C436C"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14:paraId="0EC35763" w14:textId="65553166"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p w14:paraId="1054F345" w14:textId="77777777"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tbl>
      <w:tblPr>
        <w:tblStyle w:val="GridTable4-Accent11"/>
        <w:tblW w:w="0" w:type="auto"/>
        <w:tblLook w:val="04A0" w:firstRow="1" w:lastRow="0" w:firstColumn="1" w:lastColumn="0" w:noHBand="0" w:noVBand="1"/>
      </w:tblPr>
      <w:tblGrid>
        <w:gridCol w:w="5098"/>
        <w:gridCol w:w="3918"/>
      </w:tblGrid>
      <w:tr w:rsidR="009C35B6" w:rsidRPr="009C35B6" w14:paraId="58219C86" w14:textId="77777777" w:rsidTr="009C35B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76FC1993"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lastRenderedPageBreak/>
              <w:t>Цена (Ц)</w:t>
            </w:r>
          </w:p>
        </w:tc>
        <w:tc>
          <w:tcPr>
            <w:tcW w:w="3918" w:type="dxa"/>
            <w:shd w:val="clear" w:color="auto" w:fill="B6E1E7"/>
            <w:vAlign w:val="center"/>
          </w:tcPr>
          <w:p w14:paraId="406E077A" w14:textId="77777777"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70 пондера</w:t>
            </w:r>
          </w:p>
        </w:tc>
      </w:tr>
      <w:tr w:rsidR="009C35B6" w:rsidRPr="009C35B6" w14:paraId="26BB1863" w14:textId="77777777" w:rsidTr="009C35B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7EAC47"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Искуство пројектног тима (И)</w:t>
            </w:r>
          </w:p>
        </w:tc>
        <w:tc>
          <w:tcPr>
            <w:tcW w:w="3918" w:type="dxa"/>
            <w:vAlign w:val="center"/>
          </w:tcPr>
          <w:p w14:paraId="42A3F357"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30 пондера</w:t>
            </w:r>
          </w:p>
        </w:tc>
      </w:tr>
    </w:tbl>
    <w:p w14:paraId="72A36840"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01E35ABC"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0A1C9EF7"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Цена (Ц)</w:t>
      </w:r>
    </w:p>
    <w:p w14:paraId="070B13D9"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14:paraId="4F051316"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0BA0478"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70*</w:t>
      </w:r>
    </w:p>
    <w:p w14:paraId="4B4A3B7F"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14:paraId="79D9510C"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p>
    <w:p w14:paraId="2107385D"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Искуство пројектног тима (И)</w:t>
      </w:r>
    </w:p>
    <w:p w14:paraId="2D0A1D21"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Код овог критеријума </w:t>
      </w:r>
      <w:r w:rsidRPr="009C35B6">
        <w:rPr>
          <w:rFonts w:ascii="Arial" w:eastAsia="Calibri" w:hAnsi="Arial" w:cs="Arial"/>
          <w:kern w:val="2"/>
          <w:lang w:val="ru-RU"/>
          <w14:ligatures w14:val="standardContextual"/>
        </w:rPr>
        <w:t>пондериса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ћ</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w:t>
      </w:r>
      <w:r w:rsidRPr="009C35B6">
        <w:rPr>
          <w:rFonts w:ascii="Arial" w:eastAsia="Calibri" w:hAnsi="Arial" w:cs="Arial"/>
          <w:kern w:val="2"/>
          <w:lang w:val="sr-Cyrl-RS"/>
          <w14:ligatures w14:val="standardContextual"/>
        </w:rPr>
        <w:t>ш</w:t>
      </w:r>
      <w:r w:rsidRPr="009C35B6">
        <w:rPr>
          <w:rFonts w:ascii="Arial" w:eastAsia="Calibri" w:hAnsi="Arial" w:cs="Arial"/>
          <w:kern w:val="2"/>
          <w:lang w:val="ru-RU"/>
          <w14:ligatures w14:val="standardContextual"/>
        </w:rPr>
        <w:t>ити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основу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квалификација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тима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који</w:t>
      </w:r>
      <w:r w:rsidRPr="009C35B6">
        <w:rPr>
          <w:rFonts w:ascii="Arial" w:eastAsia="Calibri" w:hAnsi="Arial" w:cs="Arial"/>
          <w:kern w:val="2"/>
          <w:lang w:val="sr-Cyrl-RS"/>
          <w14:ligatures w14:val="standardContextual"/>
        </w:rPr>
        <w:t xml:space="preserve"> ћ</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реализацији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уговора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руководиоца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пројекта</w:t>
      </w:r>
      <w:r w:rsidRPr="009C35B6">
        <w:rPr>
          <w:rFonts w:ascii="Arial" w:eastAsia="Calibri" w:hAnsi="Arial" w:cs="Arial"/>
          <w:kern w:val="2"/>
          <w:lang w:val="sr-Cyrl-RS"/>
          <w14:ligatures w14:val="standardContextual"/>
        </w:rPr>
        <w:t xml:space="preserve"> и чланова пројектног тима).</w:t>
      </w:r>
    </w:p>
    <w:p w14:paraId="780C508E"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Оцењивање ће се вршити по следећој формули:</w:t>
      </w:r>
    </w:p>
    <w:tbl>
      <w:tblPr>
        <w:tblStyle w:val="GridTable6Colorful-Accent11"/>
        <w:tblW w:w="0" w:type="auto"/>
        <w:tblLook w:val="04A0" w:firstRow="1" w:lastRow="0" w:firstColumn="1" w:lastColumn="0" w:noHBand="0" w:noVBand="1"/>
      </w:tblPr>
      <w:tblGrid>
        <w:gridCol w:w="6232"/>
        <w:gridCol w:w="2784"/>
      </w:tblGrid>
      <w:tr w:rsidR="009C35B6" w:rsidRPr="009C35B6" w14:paraId="12A217A3" w14:textId="77777777" w:rsidTr="0049567C">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0B7B4210" w14:textId="77777777" w:rsidR="009C35B6" w:rsidRPr="009C35B6" w:rsidRDefault="009C35B6" w:rsidP="009C35B6">
            <w:pPr>
              <w:spacing w:line="276" w:lineRule="auto"/>
              <w:jc w:val="center"/>
              <w:rPr>
                <w:rFonts w:ascii="Arial" w:eastAsia="Calibri" w:hAnsi="Arial" w:cs="Arial"/>
                <w:color w:val="000000"/>
              </w:rPr>
            </w:pPr>
            <w:r w:rsidRPr="009C35B6">
              <w:rPr>
                <w:rFonts w:ascii="Arial" w:eastAsia="Calibri" w:hAnsi="Arial" w:cs="Arial"/>
                <w:color w:val="000000"/>
              </w:rPr>
              <w:t>РУКОВОДИЛАЦ ПРОЈЕКТА</w:t>
            </w:r>
          </w:p>
        </w:tc>
      </w:tr>
      <w:tr w:rsidR="009C35B6" w:rsidRPr="009C35B6" w14:paraId="6FB197E1" w14:textId="77777777" w:rsidTr="009C35B6">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F71880D"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И1 - Године искуства руководиоца пројекта</w:t>
            </w:r>
          </w:p>
        </w:tc>
        <w:tc>
          <w:tcPr>
            <w:tcW w:w="2784" w:type="dxa"/>
            <w:vAlign w:val="center"/>
          </w:tcPr>
          <w:p w14:paraId="717D51A2"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14:paraId="7F0E2D64" w14:textId="77777777" w:rsidTr="0049567C">
        <w:trPr>
          <w:trHeight w:val="65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B1C7F76"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Без искуства у консалтингу у енергетском сектору</w:t>
            </w:r>
          </w:p>
        </w:tc>
        <w:tc>
          <w:tcPr>
            <w:tcW w:w="2784" w:type="dxa"/>
            <w:vAlign w:val="center"/>
          </w:tcPr>
          <w:p w14:paraId="5F529AEC"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0 пондера</w:t>
            </w:r>
          </w:p>
        </w:tc>
      </w:tr>
      <w:tr w:rsidR="009C35B6" w:rsidRPr="009C35B6" w14:paraId="324EBDAF" w14:textId="77777777" w:rsidTr="009C35B6">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DF0577A" w14:textId="77777777"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Од 1 до 3 године искуства у консалтингу у енергетском сектору</w:t>
            </w:r>
          </w:p>
        </w:tc>
        <w:tc>
          <w:tcPr>
            <w:tcW w:w="2784" w:type="dxa"/>
            <w:vAlign w:val="center"/>
          </w:tcPr>
          <w:p w14:paraId="6858D0CA"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 xml:space="preserve">2 </w:t>
            </w:r>
            <w:proofErr w:type="spellStart"/>
            <w:r w:rsidRPr="009C35B6">
              <w:rPr>
                <w:rFonts w:ascii="Arial" w:eastAsia="Calibri" w:hAnsi="Arial" w:cs="Arial"/>
                <w:color w:val="000000"/>
              </w:rPr>
              <w:t>пондера</w:t>
            </w:r>
            <w:proofErr w:type="spellEnd"/>
          </w:p>
        </w:tc>
      </w:tr>
      <w:tr w:rsidR="009C35B6" w:rsidRPr="009C35B6" w14:paraId="5F1EA6D9" w14:textId="77777777" w:rsidTr="0049567C">
        <w:trPr>
          <w:trHeight w:val="98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1CFB66C" w14:textId="77777777"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Од 4 до 6 година искуства у консалтингу у енергетском сектору</w:t>
            </w:r>
          </w:p>
        </w:tc>
        <w:tc>
          <w:tcPr>
            <w:tcW w:w="2784" w:type="dxa"/>
            <w:vAlign w:val="center"/>
          </w:tcPr>
          <w:p w14:paraId="68960A86"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6</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14:paraId="4322529F" w14:textId="77777777" w:rsidTr="009C35B6">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5F3A973" w14:textId="77777777"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Од 7 до 9 година искуства у консалтингу у енергетском сектору</w:t>
            </w:r>
          </w:p>
        </w:tc>
        <w:tc>
          <w:tcPr>
            <w:tcW w:w="2784" w:type="dxa"/>
            <w:vAlign w:val="center"/>
          </w:tcPr>
          <w:p w14:paraId="5FB879B7"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8</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14:paraId="227BE344" w14:textId="77777777" w:rsidTr="0049567C">
        <w:trPr>
          <w:trHeight w:val="87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6C8823E" w14:textId="77777777"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10 и више година искуства у консалтингу у енергетском сектору</w:t>
            </w:r>
          </w:p>
        </w:tc>
        <w:tc>
          <w:tcPr>
            <w:tcW w:w="2784" w:type="dxa"/>
            <w:vAlign w:val="center"/>
          </w:tcPr>
          <w:p w14:paraId="25394E41"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 xml:space="preserve">10 </w:t>
            </w:r>
            <w:proofErr w:type="spellStart"/>
            <w:r w:rsidRPr="009C35B6">
              <w:rPr>
                <w:rFonts w:ascii="Arial" w:eastAsia="Calibri" w:hAnsi="Arial" w:cs="Arial"/>
                <w:color w:val="000000"/>
              </w:rPr>
              <w:t>пондера</w:t>
            </w:r>
            <w:proofErr w:type="spellEnd"/>
          </w:p>
        </w:tc>
      </w:tr>
      <w:tr w:rsidR="009C35B6" w:rsidRPr="009C35B6" w14:paraId="3A2CE34A" w14:textId="77777777" w:rsidTr="009C35B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5CA5E68"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lastRenderedPageBreak/>
              <w:t>Максималан број пондера И1</w:t>
            </w:r>
          </w:p>
        </w:tc>
        <w:tc>
          <w:tcPr>
            <w:tcW w:w="2784" w:type="dxa"/>
            <w:vAlign w:val="center"/>
          </w:tcPr>
          <w:p w14:paraId="3F945FD2"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10 пондера</w:t>
            </w:r>
          </w:p>
        </w:tc>
      </w:tr>
      <w:tr w:rsidR="009C35B6" w:rsidRPr="009C35B6" w14:paraId="25196392" w14:textId="77777777" w:rsidTr="0049567C">
        <w:trPr>
          <w:trHeight w:val="53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7186C37"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И2 – Број пројеката руководиоца пројекта</w:t>
            </w:r>
          </w:p>
        </w:tc>
        <w:tc>
          <w:tcPr>
            <w:tcW w:w="2784" w:type="dxa"/>
            <w:vAlign w:val="center"/>
          </w:tcPr>
          <w:p w14:paraId="2EFC6E1F"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14:paraId="2BD585AA" w14:textId="77777777" w:rsidTr="009C35B6">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A0D9661"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Без искуства у вођењу пројеката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14:paraId="564EE5DF"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0 пондера</w:t>
            </w:r>
          </w:p>
        </w:tc>
      </w:tr>
      <w:tr w:rsidR="009C35B6" w:rsidRPr="009C35B6" w14:paraId="07FEF3A5" w14:textId="77777777" w:rsidTr="0049567C">
        <w:trPr>
          <w:trHeight w:val="1388"/>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9758295"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Водио 1 - 2 пројекта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14:paraId="6C1F4DF7"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2 пондера</w:t>
            </w:r>
          </w:p>
        </w:tc>
      </w:tr>
      <w:tr w:rsidR="009C35B6" w:rsidRPr="009C35B6" w14:paraId="360F7504" w14:textId="77777777" w:rsidTr="009C35B6">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AD5BE9B"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Водио 3 - 5 пројеката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14:paraId="54FE2CF4"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6 пондера</w:t>
            </w:r>
          </w:p>
        </w:tc>
      </w:tr>
      <w:tr w:rsidR="009C35B6" w:rsidRPr="009C35B6" w14:paraId="27C01B57" w14:textId="77777777" w:rsidTr="0049567C">
        <w:trPr>
          <w:trHeight w:val="69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A08F545"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Водио 6 - 9 пројеката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14:paraId="14B6113D"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8 пондера</w:t>
            </w:r>
          </w:p>
        </w:tc>
      </w:tr>
      <w:tr w:rsidR="009C35B6" w:rsidRPr="009C35B6" w14:paraId="7E389838" w14:textId="77777777" w:rsidTr="009C35B6">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FE5ABB4"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Водио 10 и више пројеката прилагођавања људских ресурса променама модела и организације пословања привредног друштва са више од хиљаду запослених</w:t>
            </w:r>
          </w:p>
        </w:tc>
        <w:tc>
          <w:tcPr>
            <w:tcW w:w="2784" w:type="dxa"/>
            <w:vAlign w:val="center"/>
          </w:tcPr>
          <w:p w14:paraId="78F8DCB9"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10 пондера</w:t>
            </w:r>
          </w:p>
        </w:tc>
      </w:tr>
      <w:tr w:rsidR="009C35B6" w:rsidRPr="009C35B6" w14:paraId="79DFA4B9" w14:textId="77777777" w:rsidTr="0049567C">
        <w:trPr>
          <w:trHeight w:val="417"/>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C3495A7"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Максималан број пондера И2</w:t>
            </w:r>
          </w:p>
        </w:tc>
        <w:tc>
          <w:tcPr>
            <w:tcW w:w="2784" w:type="dxa"/>
            <w:vAlign w:val="center"/>
          </w:tcPr>
          <w:p w14:paraId="685E0481"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10 пондера</w:t>
            </w:r>
          </w:p>
        </w:tc>
      </w:tr>
      <w:tr w:rsidR="009C35B6" w:rsidRPr="009C35B6" w14:paraId="2B435B54" w14:textId="77777777" w:rsidTr="009C35B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13BF4193" w14:textId="77777777" w:rsidR="009C35B6" w:rsidRPr="009C35B6" w:rsidRDefault="009C35B6" w:rsidP="009C35B6">
            <w:pPr>
              <w:spacing w:line="276" w:lineRule="auto"/>
              <w:jc w:val="center"/>
              <w:rPr>
                <w:rFonts w:ascii="Arial" w:eastAsia="Calibri" w:hAnsi="Arial" w:cs="Arial"/>
                <w:color w:val="000000"/>
              </w:rPr>
            </w:pPr>
            <w:r w:rsidRPr="009C35B6">
              <w:rPr>
                <w:rFonts w:ascii="Arial" w:eastAsia="Calibri" w:hAnsi="Arial" w:cs="Arial"/>
                <w:color w:val="000000"/>
              </w:rPr>
              <w:t xml:space="preserve">ОСТАЛИ ЧЛАНОВИ </w:t>
            </w:r>
            <w:r w:rsidRPr="009C35B6">
              <w:rPr>
                <w:rFonts w:ascii="Arial" w:eastAsia="Calibri" w:hAnsi="Arial" w:cs="Arial"/>
                <w:color w:val="000000"/>
                <w:lang w:val="sr-Cyrl-RS"/>
              </w:rPr>
              <w:t xml:space="preserve">ПРОЈЕКТНОГ </w:t>
            </w:r>
            <w:r w:rsidRPr="009C35B6">
              <w:rPr>
                <w:rFonts w:ascii="Arial" w:eastAsia="Calibri" w:hAnsi="Arial" w:cs="Arial"/>
                <w:color w:val="000000"/>
              </w:rPr>
              <w:t>ТИМА</w:t>
            </w:r>
          </w:p>
        </w:tc>
      </w:tr>
      <w:tr w:rsidR="009C35B6" w:rsidRPr="009C35B6" w14:paraId="5D4F2452" w14:textId="77777777" w:rsidTr="0049567C">
        <w:trPr>
          <w:trHeight w:val="72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2135E76"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И3 – Искуство осталих чланова пројектног тима</w:t>
            </w:r>
          </w:p>
        </w:tc>
        <w:tc>
          <w:tcPr>
            <w:tcW w:w="2784" w:type="dxa"/>
            <w:vAlign w:val="center"/>
          </w:tcPr>
          <w:p w14:paraId="4C1BB081"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14:paraId="2E6CF453" w14:textId="77777777" w:rsidTr="009C35B6">
        <w:trPr>
          <w:cnfStyle w:val="000000100000" w:firstRow="0" w:lastRow="0" w:firstColumn="0" w:lastColumn="0" w:oddVBand="0" w:evenVBand="0" w:oddHBand="1" w:evenHBand="0"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031475D" w14:textId="77777777"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 xml:space="preserve">1 </w:t>
            </w:r>
            <w:r w:rsidRPr="009C35B6">
              <w:rPr>
                <w:rFonts w:ascii="Arial" w:eastAsia="Calibri" w:hAnsi="Arial" w:cs="Arial"/>
                <w:color w:val="000000"/>
                <w:lang w:val="ru-RU"/>
              </w:rPr>
              <w:t>члан</w:t>
            </w:r>
            <w:r w:rsidRPr="009C35B6">
              <w:rPr>
                <w:rFonts w:ascii="Arial" w:eastAsia="Calibri" w:hAnsi="Arial" w:cs="Arial"/>
                <w:color w:val="000000"/>
                <w:lang w:val="sr-Cyrl-RS"/>
              </w:rPr>
              <w:t xml:space="preserve"> пројектног тима са минимум 2 године искуства у консалтингу у енергетском сектору</w:t>
            </w:r>
          </w:p>
        </w:tc>
        <w:tc>
          <w:tcPr>
            <w:tcW w:w="2784" w:type="dxa"/>
            <w:vAlign w:val="center"/>
          </w:tcPr>
          <w:p w14:paraId="3D8B9201"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rPr>
              <w:t xml:space="preserve">2 </w:t>
            </w:r>
            <w:proofErr w:type="spellStart"/>
            <w:r w:rsidRPr="009C35B6">
              <w:rPr>
                <w:rFonts w:ascii="Arial" w:eastAsia="Calibri" w:hAnsi="Arial" w:cs="Arial"/>
                <w:color w:val="000000"/>
              </w:rPr>
              <w:t>пондера</w:t>
            </w:r>
            <w:proofErr w:type="spellEnd"/>
          </w:p>
        </w:tc>
      </w:tr>
      <w:tr w:rsidR="009C35B6" w:rsidRPr="009C35B6" w14:paraId="04179369" w14:textId="77777777" w:rsidTr="0049567C">
        <w:trPr>
          <w:trHeight w:val="113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4E5E454" w14:textId="77777777"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 xml:space="preserve">2 </w:t>
            </w:r>
            <w:r w:rsidRPr="009C35B6">
              <w:rPr>
                <w:rFonts w:ascii="Arial" w:eastAsia="Calibri" w:hAnsi="Arial" w:cs="Arial"/>
                <w:color w:val="000000"/>
                <w:lang w:val="ru-RU"/>
              </w:rPr>
              <w:t>члан</w:t>
            </w:r>
            <w:r w:rsidRPr="009C35B6">
              <w:rPr>
                <w:rFonts w:ascii="Arial" w:eastAsia="Calibri" w:hAnsi="Arial" w:cs="Arial"/>
                <w:color w:val="000000"/>
                <w:lang w:val="sr-Cyrl-RS"/>
              </w:rPr>
              <w:t>а пројектног тима са минимум 2 године искуства у консалтингу у енергетском сектору</w:t>
            </w:r>
          </w:p>
        </w:tc>
        <w:tc>
          <w:tcPr>
            <w:tcW w:w="2784" w:type="dxa"/>
            <w:vAlign w:val="center"/>
          </w:tcPr>
          <w:p w14:paraId="22752BA1"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6</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14:paraId="261C1A39" w14:textId="77777777" w:rsidTr="009C35B6">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77EE768" w14:textId="77777777" w:rsidR="009C35B6" w:rsidRPr="009C35B6" w:rsidRDefault="009C35B6" w:rsidP="009C35B6">
            <w:pPr>
              <w:spacing w:line="276" w:lineRule="auto"/>
              <w:jc w:val="center"/>
              <w:rPr>
                <w:rFonts w:ascii="Arial" w:eastAsia="Calibri" w:hAnsi="Arial" w:cs="Arial"/>
                <w:color w:val="000000"/>
                <w:lang w:val="ru-RU"/>
              </w:rPr>
            </w:pPr>
            <w:r w:rsidRPr="009C35B6">
              <w:rPr>
                <w:rFonts w:ascii="Arial" w:eastAsia="Calibri" w:hAnsi="Arial" w:cs="Arial"/>
                <w:color w:val="000000"/>
                <w:lang w:val="sr-Cyrl-RS"/>
              </w:rPr>
              <w:t xml:space="preserve">3 </w:t>
            </w:r>
            <w:r w:rsidRPr="009C35B6">
              <w:rPr>
                <w:rFonts w:ascii="Arial" w:eastAsia="Calibri" w:hAnsi="Arial" w:cs="Arial"/>
                <w:color w:val="000000"/>
                <w:lang w:val="ru-RU"/>
              </w:rPr>
              <w:t>члан</w:t>
            </w:r>
            <w:r w:rsidRPr="009C35B6">
              <w:rPr>
                <w:rFonts w:ascii="Arial" w:eastAsia="Calibri" w:hAnsi="Arial" w:cs="Arial"/>
                <w:color w:val="000000"/>
                <w:lang w:val="sr-Cyrl-RS"/>
              </w:rPr>
              <w:t>а пројектног тима са минимум 2 године искуства у консалтингу у енергетском сектору</w:t>
            </w:r>
          </w:p>
        </w:tc>
        <w:tc>
          <w:tcPr>
            <w:tcW w:w="2784" w:type="dxa"/>
            <w:vAlign w:val="center"/>
          </w:tcPr>
          <w:p w14:paraId="7A804676"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8</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14:paraId="4A385F23" w14:textId="77777777" w:rsidTr="0049567C">
        <w:trPr>
          <w:trHeight w:val="81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F26D234"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lastRenderedPageBreak/>
              <w:t xml:space="preserve">4 </w:t>
            </w:r>
            <w:r w:rsidRPr="009C35B6">
              <w:rPr>
                <w:rFonts w:ascii="Arial" w:eastAsia="Calibri" w:hAnsi="Arial" w:cs="Arial"/>
                <w:color w:val="000000"/>
                <w:lang w:val="ru-RU"/>
              </w:rPr>
              <w:t>члан</w:t>
            </w:r>
            <w:r w:rsidRPr="009C35B6">
              <w:rPr>
                <w:rFonts w:ascii="Arial" w:eastAsia="Calibri" w:hAnsi="Arial" w:cs="Arial"/>
                <w:color w:val="000000"/>
                <w:lang w:val="sr-Cyrl-RS"/>
              </w:rPr>
              <w:t>а пројектног тима са минимум 2 године искуства у консалтингу у енергетском сектору</w:t>
            </w:r>
          </w:p>
        </w:tc>
        <w:tc>
          <w:tcPr>
            <w:tcW w:w="2784" w:type="dxa"/>
            <w:vAlign w:val="center"/>
          </w:tcPr>
          <w:p w14:paraId="2F5AD209"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Calibri" w:hAnsi="Arial" w:cs="Arial"/>
                <w:color w:val="000000"/>
                <w:lang w:val="sr-Cyrl-RS"/>
              </w:rPr>
              <w:t>10</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14:paraId="31DC3C1E" w14:textId="77777777" w:rsidTr="009C35B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FA6A092" w14:textId="77777777" w:rsidR="009C35B6" w:rsidRPr="009C35B6" w:rsidRDefault="009C35B6" w:rsidP="009C35B6">
            <w:pPr>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Максималан број пондера И3</w:t>
            </w:r>
          </w:p>
        </w:tc>
        <w:tc>
          <w:tcPr>
            <w:tcW w:w="2784" w:type="dxa"/>
            <w:vAlign w:val="center"/>
          </w:tcPr>
          <w:p w14:paraId="666AFF97"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b/>
                <w:bCs/>
                <w:color w:val="000000"/>
                <w:lang w:val="sr-Cyrl-RS"/>
              </w:rPr>
              <w:t>10 пондера</w:t>
            </w:r>
          </w:p>
        </w:tc>
      </w:tr>
      <w:tr w:rsidR="009C35B6" w:rsidRPr="009C35B6" w14:paraId="536A1266" w14:textId="77777777" w:rsidTr="0049567C">
        <w:trPr>
          <w:trHeight w:val="845"/>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8FB12D4" w14:textId="77777777" w:rsidR="009C35B6" w:rsidRPr="009C35B6" w:rsidRDefault="009C35B6" w:rsidP="009C35B6">
            <w:pPr>
              <w:spacing w:before="240" w:line="276" w:lineRule="auto"/>
              <w:jc w:val="center"/>
              <w:rPr>
                <w:rFonts w:ascii="Arial" w:eastAsia="Calibri" w:hAnsi="Arial" w:cs="Arial"/>
                <w:color w:val="000000"/>
                <w:lang w:val="sr-Cyrl-RS"/>
              </w:rPr>
            </w:pPr>
            <w:r w:rsidRPr="009C35B6">
              <w:rPr>
                <w:rFonts w:ascii="Arial" w:eastAsia="Calibri" w:hAnsi="Arial" w:cs="Arial"/>
                <w:color w:val="000000"/>
                <w:lang w:val="ru-RU"/>
              </w:rPr>
              <w:t>Максималан број пондера</w:t>
            </w:r>
            <w:r w:rsidRPr="009C35B6">
              <w:rPr>
                <w:rFonts w:ascii="Arial" w:eastAsia="Calibri" w:hAnsi="Arial" w:cs="Arial"/>
                <w:color w:val="000000"/>
                <w:lang w:val="sr-Cyrl-RS"/>
              </w:rPr>
              <w:t xml:space="preserve"> за критеријум И (И1+И2+И3)</w:t>
            </w:r>
          </w:p>
        </w:tc>
        <w:tc>
          <w:tcPr>
            <w:tcW w:w="2784" w:type="dxa"/>
            <w:vAlign w:val="center"/>
          </w:tcPr>
          <w:p w14:paraId="030E373F"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9C35B6">
              <w:rPr>
                <w:rFonts w:ascii="Arial" w:eastAsia="Calibri" w:hAnsi="Arial" w:cs="Arial"/>
                <w:b/>
                <w:bCs/>
                <w:color w:val="000000"/>
              </w:rPr>
              <w:t>30 ПОНДЕРА</w:t>
            </w:r>
          </w:p>
        </w:tc>
      </w:tr>
    </w:tbl>
    <w:p w14:paraId="2750BAD6"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5F1C5DCF" w14:textId="77777777"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14:paraId="5E47C5A2"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И</w:t>
      </w:r>
    </w:p>
    <w:tbl>
      <w:tblPr>
        <w:tblStyle w:val="TableGrid"/>
        <w:tblW w:w="0" w:type="auto"/>
        <w:tblLook w:val="04A0" w:firstRow="1" w:lastRow="0" w:firstColumn="1" w:lastColumn="0" w:noHBand="0" w:noVBand="1"/>
      </w:tblPr>
      <w:tblGrid>
        <w:gridCol w:w="9016"/>
      </w:tblGrid>
      <w:tr w:rsidR="009C35B6" w:rsidRPr="00A04BA4" w14:paraId="3F21929B" w14:textId="77777777" w:rsidTr="009C35B6">
        <w:tc>
          <w:tcPr>
            <w:tcW w:w="9016" w:type="dxa"/>
            <w:shd w:val="clear" w:color="auto" w:fill="B6E1E7"/>
          </w:tcPr>
          <w:p w14:paraId="0275C63A" w14:textId="77777777"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70528" behindDoc="0" locked="0" layoutInCell="1" allowOverlap="1" wp14:anchorId="4FF01DFE" wp14:editId="49BB6E9E">
                      <wp:simplePos x="0" y="0"/>
                      <wp:positionH relativeFrom="column">
                        <wp:posOffset>149225</wp:posOffset>
                      </wp:positionH>
                      <wp:positionV relativeFrom="paragraph">
                        <wp:posOffset>66675</wp:posOffset>
                      </wp:positionV>
                      <wp:extent cx="495300" cy="323850"/>
                      <wp:effectExtent l="0" t="19050" r="38100" b="38100"/>
                      <wp:wrapNone/>
                      <wp:docPr id="365451920"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4E1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1.75pt;margin-top:5.25pt;width:39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14:paraId="7B424189" w14:textId="77777777" w:rsidR="009C35B6" w:rsidRPr="009C35B6" w:rsidRDefault="009C35B6" w:rsidP="009C35B6">
            <w:pPr>
              <w:tabs>
                <w:tab w:val="left" w:pos="567"/>
              </w:tabs>
              <w:spacing w:line="276" w:lineRule="auto"/>
              <w:jc w:val="both"/>
              <w:rPr>
                <w:rFonts w:ascii="Arial" w:eastAsia="Calibri" w:hAnsi="Arial" w:cs="Arial"/>
                <w:lang w:val="sr-Cyrl-RS"/>
              </w:rPr>
            </w:pPr>
          </w:p>
          <w:p w14:paraId="37D913E4" w14:textId="77777777"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поред тога што у обрасцу понуде наводе име и презиме радно ангажованог лица, као и податак да ли лице има тражено искуство, уз понуду достављају уговор о радном ангажовању лица, као и доказе којима се потврђује тражено искуство у оквиру критеријума за доделу уговора (на пример, потврде послодавца о стеченом искуству и др).</w:t>
            </w:r>
          </w:p>
          <w:p w14:paraId="1DDCEA9F" w14:textId="77777777" w:rsidR="009C35B6" w:rsidRPr="009C35B6" w:rsidRDefault="009C35B6" w:rsidP="009C35B6">
            <w:pPr>
              <w:tabs>
                <w:tab w:val="left" w:pos="567"/>
              </w:tabs>
              <w:spacing w:line="276" w:lineRule="auto"/>
              <w:jc w:val="both"/>
              <w:rPr>
                <w:rFonts w:ascii="Arial" w:eastAsia="Calibri" w:hAnsi="Arial" w:cs="Arial"/>
                <w:lang w:val="sr-Cyrl-RS"/>
              </w:rPr>
            </w:pPr>
          </w:p>
        </w:tc>
      </w:tr>
    </w:tbl>
    <w:p w14:paraId="06020AAC" w14:textId="77777777" w:rsidR="009C35B6" w:rsidRPr="009C35B6" w:rsidRDefault="009C35B6" w:rsidP="009C35B6">
      <w:pPr>
        <w:tabs>
          <w:tab w:val="left" w:pos="3228"/>
        </w:tabs>
        <w:spacing w:after="160" w:line="276" w:lineRule="auto"/>
        <w:rPr>
          <w:rFonts w:ascii="Arial" w:eastAsia="Calibri" w:hAnsi="Arial" w:cs="Arial"/>
          <w:b/>
          <w:bCs/>
          <w:kern w:val="2"/>
          <w:lang w:val="sr-Cyrl-RS"/>
          <w14:ligatures w14:val="standardContextual"/>
        </w:rPr>
      </w:pPr>
    </w:p>
    <w:p w14:paraId="17600B1B"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5A96BB23"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63960D9F"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0E9579C9"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176DD283"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6B31B1CC"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6C7EC084"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55AC66E3" w14:textId="340A17AA" w:rsid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023A9EB7" w14:textId="1DE790AC"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14:paraId="57A5E72F" w14:textId="12A2D89C"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14:paraId="0C5C86AE" w14:textId="54A788EB"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14:paraId="3A3C72B1" w14:textId="77777777" w:rsidR="0042634A" w:rsidRPr="009C35B6"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14:paraId="48701C04" w14:textId="77777777" w:rsidR="00696018" w:rsidRPr="0071780D" w:rsidRDefault="00696018" w:rsidP="00D9691F">
      <w:pPr>
        <w:pStyle w:val="Heading2"/>
        <w:rPr>
          <w:rFonts w:eastAsia="Calibri"/>
          <w:lang w:val="ru-RU"/>
        </w:rPr>
      </w:pPr>
    </w:p>
    <w:p w14:paraId="33BBBDD5" w14:textId="398367B1" w:rsidR="009C35B6" w:rsidRPr="00D9691F" w:rsidRDefault="009C35B6" w:rsidP="00D9691F">
      <w:pPr>
        <w:pStyle w:val="Heading2"/>
        <w:rPr>
          <w:rFonts w:eastAsiaTheme="minorHAnsi"/>
        </w:rPr>
      </w:pPr>
      <w:bookmarkStart w:id="5" w:name="_Toc184988056"/>
      <w:r w:rsidRPr="00D9691F">
        <w:rPr>
          <w:rFonts w:eastAsia="Calibri"/>
        </w:rPr>
        <w:lastRenderedPageBreak/>
        <w:t>3.2. УСЛУГА ВЕШТАЧЕЊА</w:t>
      </w:r>
      <w:bookmarkEnd w:id="5"/>
    </w:p>
    <w:p w14:paraId="67C0966A" w14:textId="77777777" w:rsidR="00696018" w:rsidRPr="009C35B6" w:rsidRDefault="00696018" w:rsidP="00696018">
      <w:pPr>
        <w:pStyle w:val="Heading2"/>
        <w:rPr>
          <w:rFonts w:eastAsia="Calibri"/>
        </w:rPr>
      </w:pPr>
    </w:p>
    <w:p w14:paraId="446E6EE4"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Уопштено о предмету набавке:</w:t>
      </w:r>
    </w:p>
    <w:p w14:paraId="5BA10ADA"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Предмет јавне набавке представља обављање вештачења на територији Републике Србије према правилима струке и према захтеву наручиоца и израда стручних налаза, мишљења и изјашњења за потребе наручиоца из области </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рхит</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ктур</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грађевинске, електротехничке, геодетске, пољопривредне, шумарске, машинске, </w:t>
      </w:r>
      <w:r w:rsidRPr="009C35B6">
        <w:rPr>
          <w:rFonts w:ascii="Arial" w:eastAsia="Calibri" w:hAnsi="Arial" w:cs="Arial"/>
          <w:kern w:val="2"/>
          <w:lang w:val="ru-RU"/>
          <w14:ligatures w14:val="standardContextual"/>
        </w:rPr>
        <w:t>цао</w:t>
      </w:r>
      <w:r w:rsidRPr="009C35B6">
        <w:rPr>
          <w:rFonts w:ascii="Arial" w:eastAsia="Calibri" w:hAnsi="Arial" w:cs="Arial"/>
          <w:kern w:val="2"/>
          <w:lang w:val="sr-Cyrl-RS"/>
          <w14:ligatures w14:val="standardContextual"/>
        </w:rPr>
        <w:t>б</w:t>
      </w:r>
      <w:r w:rsidRPr="009C35B6">
        <w:rPr>
          <w:rFonts w:ascii="Arial" w:eastAsia="Calibri" w:hAnsi="Arial" w:cs="Arial"/>
          <w:kern w:val="2"/>
          <w:lang w:val="ru-RU"/>
          <w14:ligatures w14:val="standardContextual"/>
        </w:rPr>
        <w:t>па</w:t>
      </w:r>
      <w:r w:rsidRPr="009C35B6">
        <w:rPr>
          <w:rFonts w:ascii="Arial" w:eastAsia="Calibri" w:hAnsi="Arial" w:cs="Arial"/>
          <w:kern w:val="2"/>
          <w:lang w:val="sr-Cyrl-RS"/>
          <w14:ligatures w14:val="standardContextual"/>
        </w:rPr>
        <w:t>ћ</w:t>
      </w:r>
      <w:r w:rsidRPr="009C35B6">
        <w:rPr>
          <w:rFonts w:ascii="Arial" w:eastAsia="Calibri" w:hAnsi="Arial" w:cs="Arial"/>
          <w:kern w:val="2"/>
          <w:lang w:val="ru-RU"/>
          <w14:ligatures w14:val="standardContextual"/>
        </w:rPr>
        <w:t>ај</w:t>
      </w:r>
      <w:r w:rsidRPr="009C35B6">
        <w:rPr>
          <w:rFonts w:ascii="Arial" w:eastAsia="Calibri" w:hAnsi="Arial" w:cs="Arial"/>
          <w:kern w:val="2"/>
          <w:lang w:val="sr-Cyrl-RS"/>
          <w14:ligatures w14:val="standardContextual"/>
        </w:rPr>
        <w:t>н</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економско-финансијске струке. </w:t>
      </w:r>
    </w:p>
    <w:p w14:paraId="4C2A27DC"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Услуга обухвата: </w:t>
      </w:r>
    </w:p>
    <w:p w14:paraId="0847F486" w14:textId="77777777"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израду стручних налаза и мишљења и изјашњења на основу документације и списа предмета без изласка на терен; </w:t>
      </w:r>
    </w:p>
    <w:p w14:paraId="4B7C64BD" w14:textId="77777777"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израду стручних изјашњења налаза и мишљења са изласком на терен од 50 до 150 километара; </w:t>
      </w:r>
    </w:p>
    <w:p w14:paraId="7E317901" w14:textId="77777777"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израду стручних изјашњења налаза и мишљења са изласком на терен преко 150 километара; </w:t>
      </w:r>
    </w:p>
    <w:p w14:paraId="4AFC0D1B" w14:textId="77777777"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иэраду више налаза и мишљења по једном изласку на терен од 50 до 150 км; </w:t>
      </w:r>
    </w:p>
    <w:p w14:paraId="428F9475" w14:textId="77777777"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израду више налаза и мишљења по једном изласку на терен преко 150 км; </w:t>
      </w:r>
    </w:p>
    <w:p w14:paraId="193F2991" w14:textId="77777777"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допунска изјашњења, односно допуне налаза и мишљења; </w:t>
      </w:r>
    </w:p>
    <w:p w14:paraId="272A6A15" w14:textId="77777777" w:rsidR="009C35B6" w:rsidRPr="009C35B6"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излазак на суд ради усменог изјашњења и давања мишљења.</w:t>
      </w:r>
    </w:p>
    <w:p w14:paraId="21346945" w14:textId="77777777" w:rsidR="009C35B6" w:rsidRPr="009C35B6" w:rsidRDefault="009C35B6" w:rsidP="009C35B6">
      <w:pPr>
        <w:tabs>
          <w:tab w:val="left" w:pos="567"/>
        </w:tabs>
        <w:spacing w:after="160" w:line="276" w:lineRule="auto"/>
        <w:ind w:left="20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Извршилац се обавезује да изради стручне налазе, мишљења и изјашњења, у року од највише 5 дана од дана писаног налога наручиоца, уколико се исти израђује на основу документације и списа предмета без изласка на терен, односно највише у року од 15 дана уколико се излази на терен. </w:t>
      </w:r>
    </w:p>
    <w:p w14:paraId="79543168" w14:textId="3D0CD9C6" w:rsidR="009C35B6" w:rsidRPr="009C35B6" w:rsidRDefault="009C35B6" w:rsidP="00B11E1C">
      <w:pPr>
        <w:tabs>
          <w:tab w:val="left" w:pos="567"/>
        </w:tabs>
        <w:spacing w:after="160" w:line="276" w:lineRule="auto"/>
        <w:ind w:left="20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Место извршења услуге: територија Републике Србије.</w:t>
      </w:r>
    </w:p>
    <w:p w14:paraId="2DF8519A"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14:paraId="2A5F4D4D" w14:textId="095663D0"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p w14:paraId="523FE087" w14:textId="77777777"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tbl>
      <w:tblPr>
        <w:tblStyle w:val="GridTable4-Accent11"/>
        <w:tblW w:w="0" w:type="auto"/>
        <w:tblLook w:val="04A0" w:firstRow="1" w:lastRow="0" w:firstColumn="1" w:lastColumn="0" w:noHBand="0" w:noVBand="1"/>
      </w:tblPr>
      <w:tblGrid>
        <w:gridCol w:w="5240"/>
        <w:gridCol w:w="3776"/>
      </w:tblGrid>
      <w:tr w:rsidR="009C35B6" w:rsidRPr="009C35B6" w14:paraId="16F9A508"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240" w:type="dxa"/>
            <w:shd w:val="clear" w:color="auto" w:fill="B6E1E7"/>
            <w:vAlign w:val="center"/>
          </w:tcPr>
          <w:p w14:paraId="252539F9"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776" w:type="dxa"/>
            <w:shd w:val="clear" w:color="auto" w:fill="B6E1E7"/>
            <w:vAlign w:val="center"/>
          </w:tcPr>
          <w:p w14:paraId="202DC560" w14:textId="77777777"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90 пондера</w:t>
            </w:r>
          </w:p>
        </w:tc>
      </w:tr>
      <w:tr w:rsidR="009C35B6" w:rsidRPr="009C35B6" w14:paraId="14BC1A14"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23CDD61" w14:textId="77777777" w:rsidR="009C35B6" w:rsidRPr="009C35B6" w:rsidRDefault="009C35B6" w:rsidP="009C35B6">
            <w:pPr>
              <w:tabs>
                <w:tab w:val="left" w:pos="567"/>
              </w:tabs>
              <w:spacing w:line="276" w:lineRule="auto"/>
              <w:jc w:val="center"/>
              <w:rPr>
                <w:rFonts w:ascii="Arial" w:eastAsia="Calibri" w:hAnsi="Arial" w:cs="Arial"/>
                <w:lang w:val="sr-Cyrl-RS"/>
              </w:rPr>
            </w:pPr>
            <w:r w:rsidRPr="009C35B6">
              <w:rPr>
                <w:rFonts w:ascii="Arial" w:eastAsia="Calibri" w:hAnsi="Arial" w:cs="Arial"/>
                <w:lang w:val="sr-Cyrl-RS"/>
              </w:rPr>
              <w:t>Рок за израду стручних налаза, мишљења и изјашњења, са изласком на терен (Р)</w:t>
            </w:r>
          </w:p>
        </w:tc>
        <w:tc>
          <w:tcPr>
            <w:tcW w:w="3776" w:type="dxa"/>
            <w:vAlign w:val="center"/>
          </w:tcPr>
          <w:p w14:paraId="740591ED"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val="sr-Cyrl-RS"/>
              </w:rPr>
            </w:pPr>
            <w:r w:rsidRPr="009C35B6">
              <w:rPr>
                <w:rFonts w:ascii="Arial" w:eastAsia="Calibri" w:hAnsi="Arial" w:cs="Arial"/>
                <w:lang w:val="sr-Cyrl-RS"/>
              </w:rPr>
              <w:t>Макс. 10 пондера</w:t>
            </w:r>
          </w:p>
        </w:tc>
      </w:tr>
    </w:tbl>
    <w:p w14:paraId="0F4127BE" w14:textId="77777777" w:rsidR="009C35B6" w:rsidRPr="009C35B6" w:rsidRDefault="009C35B6" w:rsidP="009C35B6">
      <w:pPr>
        <w:tabs>
          <w:tab w:val="left" w:pos="567"/>
        </w:tabs>
        <w:spacing w:after="160" w:line="276" w:lineRule="auto"/>
        <w:ind w:left="207"/>
        <w:jc w:val="both"/>
        <w:rPr>
          <w:rFonts w:ascii="Arial" w:eastAsia="Calibri" w:hAnsi="Arial" w:cs="Arial"/>
          <w:kern w:val="2"/>
          <w:lang w:val="sr-Cyrl-RS"/>
          <w14:ligatures w14:val="standardContextual"/>
        </w:rPr>
      </w:pPr>
    </w:p>
    <w:p w14:paraId="519E5986"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lastRenderedPageBreak/>
        <w:t>Цена (Ц)</w:t>
      </w:r>
    </w:p>
    <w:p w14:paraId="42DD37AE"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14:paraId="1A2D6694"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90*</w:t>
      </w:r>
    </w:p>
    <w:p w14:paraId="5AC4F529"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14:paraId="3C11D7EB"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Рок за израду стручних налаза, мишљења и изјашњења, са изласком на терен (Р)</w:t>
      </w:r>
    </w:p>
    <w:p w14:paraId="139517D5"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Код</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овог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критеријума</w:t>
      </w:r>
      <w:r w:rsidRPr="009C35B6">
        <w:rPr>
          <w:rFonts w:ascii="Arial" w:eastAsia="Calibri" w:hAnsi="Arial" w:cs="Arial"/>
          <w:kern w:val="2"/>
          <w:lang w:val="sr-Cyrl-RS"/>
          <w14:ligatures w14:val="standardContextual"/>
        </w:rPr>
        <w:t xml:space="preserve"> наручилац даје предност оној понуди у којој је предвиђен краћи рок за израду стручних налаза, мишљења и изјашњења, са изласком на терен. Као минималну вредност наручилац је предвидео 5 дана, док максимална вредност износи 15 дана од давања налога наручиоца.  </w:t>
      </w:r>
    </w:p>
    <w:p w14:paraId="59C00877"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bookmarkStart w:id="6" w:name="_Hlk182749194"/>
      <w:r w:rsidRPr="009C35B6">
        <w:rPr>
          <w:rFonts w:ascii="Arial" w:eastAsia="Calibri" w:hAnsi="Arial" w:cs="Arial"/>
          <w:kern w:val="2"/>
          <w:lang w:val="sr-Cyrl-RS"/>
          <w14:ligatures w14:val="standardContextual"/>
        </w:rPr>
        <w:t>Оцењивање ће се вршити по следећој формули:</w:t>
      </w:r>
    </w:p>
    <w:tbl>
      <w:tblPr>
        <w:tblStyle w:val="GridTable6Colorful-Accent11"/>
        <w:tblW w:w="0" w:type="auto"/>
        <w:tblLook w:val="04A0" w:firstRow="1" w:lastRow="0" w:firstColumn="1" w:lastColumn="0" w:noHBand="0" w:noVBand="1"/>
      </w:tblPr>
      <w:tblGrid>
        <w:gridCol w:w="5807"/>
        <w:gridCol w:w="3209"/>
      </w:tblGrid>
      <w:tr w:rsidR="009C35B6" w:rsidRPr="00A04BA4" w14:paraId="3A0E1181" w14:textId="77777777" w:rsidTr="0042634A">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9016" w:type="dxa"/>
            <w:gridSpan w:val="2"/>
          </w:tcPr>
          <w:p w14:paraId="37119F03" w14:textId="77777777" w:rsidR="009C35B6" w:rsidRPr="009C35B6" w:rsidRDefault="009C35B6" w:rsidP="009C35B6">
            <w:pPr>
              <w:tabs>
                <w:tab w:val="left" w:pos="567"/>
              </w:tabs>
              <w:spacing w:before="240" w:line="276" w:lineRule="auto"/>
              <w:jc w:val="center"/>
              <w:rPr>
                <w:rFonts w:ascii="Arial" w:eastAsia="Calibri" w:hAnsi="Arial" w:cs="Arial"/>
                <w:color w:val="000000"/>
                <w:u w:val="single"/>
                <w:lang w:val="sr-Cyrl-RS"/>
              </w:rPr>
            </w:pPr>
            <w:r w:rsidRPr="009C35B6">
              <w:rPr>
                <w:rFonts w:ascii="Arial" w:eastAsia="Calibri" w:hAnsi="Arial" w:cs="Arial"/>
                <w:color w:val="000000"/>
                <w:lang w:val="sr-Cyrl-RS"/>
              </w:rPr>
              <w:t>Рок за израду стручних налаза, мишљења и изјашњења, са изласком на терен</w:t>
            </w:r>
          </w:p>
        </w:tc>
      </w:tr>
      <w:tr w:rsidR="009C35B6" w:rsidRPr="009C35B6" w14:paraId="03520F83"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48C24C6B"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Број дана</w:t>
            </w:r>
          </w:p>
        </w:tc>
        <w:tc>
          <w:tcPr>
            <w:tcW w:w="3209" w:type="dxa"/>
            <w:vAlign w:val="center"/>
          </w:tcPr>
          <w:p w14:paraId="60FA7471"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14:paraId="4B7DD0BC" w14:textId="77777777" w:rsidTr="0049567C">
        <w:trPr>
          <w:trHeight w:val="51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7E29BCBF"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5 – 6 дана</w:t>
            </w:r>
          </w:p>
        </w:tc>
        <w:tc>
          <w:tcPr>
            <w:tcW w:w="3209" w:type="dxa"/>
            <w:vAlign w:val="center"/>
          </w:tcPr>
          <w:p w14:paraId="223AF961" w14:textId="77777777"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10 пондера</w:t>
            </w:r>
          </w:p>
        </w:tc>
      </w:tr>
      <w:tr w:rsidR="009C35B6" w:rsidRPr="009C35B6" w14:paraId="65B7601E" w14:textId="77777777" w:rsidTr="009C35B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34BD959D"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7 – 8 дана</w:t>
            </w:r>
          </w:p>
        </w:tc>
        <w:tc>
          <w:tcPr>
            <w:tcW w:w="3209" w:type="dxa"/>
            <w:vAlign w:val="center"/>
          </w:tcPr>
          <w:p w14:paraId="68216F4A"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6 пондера</w:t>
            </w:r>
          </w:p>
        </w:tc>
      </w:tr>
      <w:tr w:rsidR="009C35B6" w:rsidRPr="009C35B6" w14:paraId="5F1FD30F" w14:textId="77777777" w:rsidTr="0049567C">
        <w:trPr>
          <w:trHeight w:val="427"/>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46EF50DD"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9 – 11 дана</w:t>
            </w:r>
          </w:p>
        </w:tc>
        <w:tc>
          <w:tcPr>
            <w:tcW w:w="3209" w:type="dxa"/>
            <w:vAlign w:val="center"/>
          </w:tcPr>
          <w:p w14:paraId="65FE12B0" w14:textId="77777777"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4 пондера</w:t>
            </w:r>
          </w:p>
        </w:tc>
      </w:tr>
      <w:tr w:rsidR="009C35B6" w:rsidRPr="009C35B6" w14:paraId="54946FDA" w14:textId="77777777" w:rsidTr="009C35B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62F0E095"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12 – 14 дана</w:t>
            </w:r>
          </w:p>
        </w:tc>
        <w:tc>
          <w:tcPr>
            <w:tcW w:w="3209" w:type="dxa"/>
            <w:vAlign w:val="center"/>
          </w:tcPr>
          <w:p w14:paraId="4DE490D1"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2 пондера</w:t>
            </w:r>
          </w:p>
        </w:tc>
      </w:tr>
      <w:tr w:rsidR="009C35B6" w:rsidRPr="009C35B6" w14:paraId="23EAF631" w14:textId="77777777" w:rsidTr="0049567C">
        <w:trPr>
          <w:trHeight w:val="560"/>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5D93D470"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15 дана</w:t>
            </w:r>
          </w:p>
        </w:tc>
        <w:tc>
          <w:tcPr>
            <w:tcW w:w="3209" w:type="dxa"/>
            <w:vAlign w:val="center"/>
          </w:tcPr>
          <w:p w14:paraId="0B49A927" w14:textId="77777777"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0 пондера</w:t>
            </w:r>
          </w:p>
        </w:tc>
      </w:tr>
      <w:tr w:rsidR="009C35B6" w:rsidRPr="009C35B6" w14:paraId="1DD305D4" w14:textId="77777777" w:rsidTr="009C35B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07F3720C" w14:textId="77777777" w:rsidR="009C35B6" w:rsidRPr="009C35B6" w:rsidRDefault="009C35B6" w:rsidP="009C35B6">
            <w:pPr>
              <w:tabs>
                <w:tab w:val="left" w:pos="567"/>
              </w:tabs>
              <w:spacing w:line="276" w:lineRule="auto"/>
              <w:jc w:val="center"/>
              <w:rPr>
                <w:rFonts w:ascii="Arial" w:eastAsia="Calibri" w:hAnsi="Arial" w:cs="Arial"/>
                <w:u w:val="single"/>
                <w:lang w:val="sr-Cyrl-RS"/>
              </w:rPr>
            </w:pPr>
            <w:r w:rsidRPr="009C35B6">
              <w:rPr>
                <w:rFonts w:ascii="Arial" w:eastAsia="Calibri" w:hAnsi="Arial" w:cs="Arial"/>
                <w:color w:val="000000"/>
                <w:lang w:val="sr-Cyrl-RS"/>
              </w:rPr>
              <w:t>Максималан број пондера за критеријум Р</w:t>
            </w:r>
          </w:p>
        </w:tc>
        <w:tc>
          <w:tcPr>
            <w:tcW w:w="3209" w:type="dxa"/>
            <w:vAlign w:val="center"/>
          </w:tcPr>
          <w:p w14:paraId="216AEB56"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u w:val="single"/>
                <w:lang w:val="sr-Cyrl-RS"/>
              </w:rPr>
            </w:pPr>
            <w:r w:rsidRPr="009C35B6">
              <w:rPr>
                <w:rFonts w:ascii="Arial" w:eastAsia="Calibri" w:hAnsi="Arial" w:cs="Arial"/>
                <w:b/>
                <w:bCs/>
                <w:color w:val="000000"/>
                <w:lang w:val="sr-Cyrl-RS"/>
              </w:rPr>
              <w:t>10 пондера</w:t>
            </w:r>
          </w:p>
        </w:tc>
      </w:tr>
    </w:tbl>
    <w:p w14:paraId="094B40D7" w14:textId="77777777" w:rsidR="009C35B6" w:rsidRPr="009C35B6" w:rsidRDefault="009C35B6" w:rsidP="0042634A">
      <w:pPr>
        <w:tabs>
          <w:tab w:val="left" w:pos="567"/>
        </w:tabs>
        <w:spacing w:before="240"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14:paraId="3E80D240" w14:textId="310B55C0" w:rsidR="009C35B6" w:rsidRPr="009C35B6" w:rsidRDefault="009C35B6" w:rsidP="00B11E1C">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ЕНП = Ц + Р</w:t>
      </w:r>
    </w:p>
    <w:tbl>
      <w:tblPr>
        <w:tblStyle w:val="TableGrid"/>
        <w:tblW w:w="0" w:type="auto"/>
        <w:tblLook w:val="04A0" w:firstRow="1" w:lastRow="0" w:firstColumn="1" w:lastColumn="0" w:noHBand="0" w:noVBand="1"/>
      </w:tblPr>
      <w:tblGrid>
        <w:gridCol w:w="9016"/>
      </w:tblGrid>
      <w:tr w:rsidR="009C35B6" w:rsidRPr="00A04BA4" w14:paraId="6E8649BB" w14:textId="77777777" w:rsidTr="009C35B6">
        <w:tc>
          <w:tcPr>
            <w:tcW w:w="9016" w:type="dxa"/>
            <w:shd w:val="clear" w:color="auto" w:fill="B6E1E7"/>
          </w:tcPr>
          <w:p w14:paraId="6F0EC13B" w14:textId="77777777"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65408" behindDoc="0" locked="0" layoutInCell="1" allowOverlap="1" wp14:anchorId="368F78F8" wp14:editId="39208634">
                      <wp:simplePos x="0" y="0"/>
                      <wp:positionH relativeFrom="column">
                        <wp:posOffset>149225</wp:posOffset>
                      </wp:positionH>
                      <wp:positionV relativeFrom="paragraph">
                        <wp:posOffset>66675</wp:posOffset>
                      </wp:positionV>
                      <wp:extent cx="495300" cy="323850"/>
                      <wp:effectExtent l="0" t="19050" r="38100" b="38100"/>
                      <wp:wrapNone/>
                      <wp:docPr id="1459152018"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68C9" id="Arrow: Right 7" o:spid="_x0000_s1026" type="#_x0000_t13" style="position:absolute;margin-left:11.75pt;margin-top:5.25pt;width:3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14:paraId="2417E86D" w14:textId="77777777" w:rsidR="009C35B6" w:rsidRPr="009C35B6" w:rsidRDefault="009C35B6" w:rsidP="009C35B6">
            <w:pPr>
              <w:tabs>
                <w:tab w:val="left" w:pos="567"/>
              </w:tabs>
              <w:spacing w:line="276" w:lineRule="auto"/>
              <w:jc w:val="both"/>
              <w:rPr>
                <w:rFonts w:ascii="Arial" w:eastAsia="Calibri" w:hAnsi="Arial" w:cs="Arial"/>
                <w:lang w:val="sr-Cyrl-RS"/>
              </w:rPr>
            </w:pPr>
          </w:p>
          <w:p w14:paraId="443C57F8" w14:textId="77777777"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xml:space="preserve"> су у обавези да уз понуду доставе изјаву у којој ће навести време потребно за израду стручних анализа, мишљења и изјашњења са изласком на терен.</w:t>
            </w:r>
          </w:p>
          <w:p w14:paraId="5A078BAD" w14:textId="77777777" w:rsidR="009C35B6" w:rsidRPr="009C35B6" w:rsidRDefault="009C35B6" w:rsidP="009C35B6">
            <w:pPr>
              <w:tabs>
                <w:tab w:val="left" w:pos="567"/>
              </w:tabs>
              <w:spacing w:line="276" w:lineRule="auto"/>
              <w:jc w:val="both"/>
              <w:rPr>
                <w:rFonts w:ascii="Arial" w:eastAsia="Calibri" w:hAnsi="Arial" w:cs="Arial"/>
                <w:lang w:val="sr-Cyrl-RS"/>
              </w:rPr>
            </w:pPr>
          </w:p>
        </w:tc>
      </w:tr>
    </w:tbl>
    <w:p w14:paraId="6B6CE5D0" w14:textId="610AE282" w:rsidR="00696018" w:rsidRPr="00696018" w:rsidRDefault="009C35B6" w:rsidP="00D9691F">
      <w:pPr>
        <w:pStyle w:val="Heading2"/>
      </w:pPr>
      <w:bookmarkStart w:id="7" w:name="_Toc184988057"/>
      <w:bookmarkEnd w:id="6"/>
      <w:r w:rsidRPr="00696018">
        <w:lastRenderedPageBreak/>
        <w:t>3.3. УСЛУГА ТЕХНИЧКЕ КОНТРОЛЕ</w:t>
      </w:r>
      <w:bookmarkEnd w:id="7"/>
    </w:p>
    <w:p w14:paraId="55EA7176" w14:textId="52117E58" w:rsidR="009C35B6" w:rsidRPr="00696018" w:rsidRDefault="009C35B6" w:rsidP="00D9691F">
      <w:pPr>
        <w:pStyle w:val="Heading2"/>
      </w:pPr>
      <w:bookmarkStart w:id="8" w:name="_Toc184988058"/>
      <w:r w:rsidRPr="00696018">
        <w:t>ТЕХНИЧКЕ ДОКУМЕНТАЦИЈЕ</w:t>
      </w:r>
      <w:bookmarkEnd w:id="8"/>
    </w:p>
    <w:p w14:paraId="0D9F6379" w14:textId="77777777" w:rsidR="00696018" w:rsidRPr="00696018" w:rsidRDefault="00696018" w:rsidP="00696018">
      <w:pPr>
        <w:pStyle w:val="Heading2"/>
        <w:rPr>
          <w:rFonts w:eastAsia="Calibri"/>
          <w:lang w:val="ru-RU"/>
        </w:rPr>
      </w:pPr>
    </w:p>
    <w:p w14:paraId="1E0F95A2" w14:textId="77777777" w:rsidR="009C35B6" w:rsidRPr="009C35B6" w:rsidRDefault="009C35B6" w:rsidP="00341D3C">
      <w:pPr>
        <w:numPr>
          <w:ilvl w:val="0"/>
          <w:numId w:val="2"/>
        </w:numPr>
        <w:tabs>
          <w:tab w:val="left" w:pos="567"/>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lang w:val="sr-Cyrl-RS"/>
          <w14:ligatures w14:val="standardContextual"/>
        </w:rPr>
        <w:t xml:space="preserve"> </w:t>
      </w:r>
      <w:r w:rsidRPr="009C35B6">
        <w:rPr>
          <w:rFonts w:ascii="Arial" w:eastAsia="Calibri" w:hAnsi="Arial" w:cs="Arial"/>
          <w:i/>
          <w:iCs/>
          <w:kern w:val="2"/>
          <w:u w:val="single"/>
          <w:lang w:val="sr-Cyrl-RS"/>
          <w14:ligatures w14:val="standardContextual"/>
        </w:rPr>
        <w:t>Уопштено о предмету набавке:</w:t>
      </w:r>
    </w:p>
    <w:p w14:paraId="56EC328E"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Обавеза извршиоца је да за потребе наручиоца изврши техничку контролу пројеката ПГД за 10 објеката наручиоца. </w:t>
      </w:r>
    </w:p>
    <w:p w14:paraId="3E5C4F19"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Извршилац је у обавези да предметну услугу изврши сагласно Закону о планирању и изградњи („Службени гласник РС", бр. 72/2009, 81/2009 - испр., 64/2010 – одлука УС, 24/2011, 121/2012, 42/2013 - одлука УС, 50/2013 - одлука УС, 98/2013 - одлука УС, 132/2014, 145/2014, 83/2018, 31/2019, 37/2019 – др. закон и 9/20, 52/2021 и 62/2023), важећим Правилником о садржини, начину и поступку израде и вршења контроле техничке документације према класи и намени објекта („Службени гласник РС“, број 96/2023) и Правилником о поступку спровођења обједињене процедуре електронским путем („Службени гласник РС", број 96/2023) и свим важећим прописима за ову врсту посла. </w:t>
      </w:r>
    </w:p>
    <w:p w14:paraId="76533FEE"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Рок извршења за сваку позицију из Обрасца структуре понуђене цене је 15 дана од писаног позива наручиоца. Укупним роком за извршење по појединачном делу из обрасца структуре је обухваћен рок за доставу прелиминарног извештаја Техничке контроле (максимално 10 календарских дана од дана увођења извршиоца у посао) и рок за доставу коначног извештаја Техничке контроле и оверу техничке документације (максимално 5 календарских дана од дана доставе техничке документације у којој је поступљено по примедбама Техничке контроле). </w:t>
      </w:r>
    </w:p>
    <w:p w14:paraId="72C88318"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Извршилац је обавезан да достави два примерка у папирној верзији прелиминарног извештаја (извештај који потписују пројектанти са одговарајућим лиценцама који су обавили техничку контролу појединачних делова пројекта). Коначни извештај потписује заступник правног лица, односно предузетник. </w:t>
      </w:r>
    </w:p>
    <w:p w14:paraId="115A36D1"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4CF5B695"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Критеријуми за избор привредног субјекта</w:t>
      </w:r>
    </w:p>
    <w:p w14:paraId="096A56FC"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 оквиру критеријума за избор привредног субјекта – образовне и стручне квалификације (члан 117. ЗЈН), наручилац је предвидео да понуђач има </w:t>
      </w:r>
      <w:r w:rsidRPr="009C35B6">
        <w:rPr>
          <w:rFonts w:ascii="Arial" w:eastAsia="Calibri" w:hAnsi="Arial" w:cs="Arial"/>
          <w:kern w:val="2"/>
          <w:lang w:val="ru-RU"/>
          <w14:ligatures w14:val="standardContextual"/>
        </w:rPr>
        <w:t>радно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основу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складу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одредбама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закона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уре</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права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обавезе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одговорности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радног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најма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p>
    <w:p w14:paraId="4F97C7C1" w14:textId="77777777" w:rsidR="009C35B6" w:rsidRPr="009C35B6" w:rsidRDefault="009C35B6" w:rsidP="00341D3C">
      <w:pPr>
        <w:numPr>
          <w:ilvl w:val="0"/>
          <w:numId w:val="4"/>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једног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дипломираног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ин</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архитектуре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300 (321</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 xml:space="preserve">), </w:t>
      </w:r>
    </w:p>
    <w:p w14:paraId="0CD71886" w14:textId="77777777" w:rsidR="009C35B6" w:rsidRPr="009C35B6" w:rsidRDefault="009C35B6" w:rsidP="00341D3C">
      <w:pPr>
        <w:numPr>
          <w:ilvl w:val="0"/>
          <w:numId w:val="4"/>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једног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дипломираног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ин</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гра</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евине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310 (341И), </w:t>
      </w:r>
    </w:p>
    <w:p w14:paraId="32D48540" w14:textId="77777777" w:rsidR="009C35B6" w:rsidRPr="009C35B6" w:rsidRDefault="009C35B6" w:rsidP="00341D3C">
      <w:pPr>
        <w:numPr>
          <w:ilvl w:val="0"/>
          <w:numId w:val="4"/>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једног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дипломираног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ин</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ма</w:t>
      </w:r>
      <w:r w:rsidRPr="009C35B6">
        <w:rPr>
          <w:rFonts w:ascii="Arial" w:eastAsia="Calibri" w:hAnsi="Arial" w:cs="Arial"/>
          <w:kern w:val="2"/>
          <w:lang w:val="sr-Cyrl-RS"/>
          <w14:ligatures w14:val="standardContextual"/>
        </w:rPr>
        <w:t>ш</w:t>
      </w:r>
      <w:r w:rsidRPr="009C35B6">
        <w:rPr>
          <w:rFonts w:ascii="Arial" w:eastAsia="Calibri" w:hAnsi="Arial" w:cs="Arial"/>
          <w:kern w:val="2"/>
          <w:lang w:val="ru-RU"/>
          <w14:ligatures w14:val="standardContextual"/>
        </w:rPr>
        <w:t>инства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330 (361И), </w:t>
      </w:r>
    </w:p>
    <w:p w14:paraId="1E08C769" w14:textId="77777777" w:rsidR="009C35B6" w:rsidRPr="009C35B6" w:rsidRDefault="009C35B6" w:rsidP="00341D3C">
      <w:pPr>
        <w:numPr>
          <w:ilvl w:val="0"/>
          <w:numId w:val="4"/>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de-DE"/>
          <w14:ligatures w14:val="standardContextual"/>
        </w:rPr>
        <w:t>једног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дипломираног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ин</w:t>
      </w:r>
      <w:r w:rsidRPr="009C35B6">
        <w:rPr>
          <w:rFonts w:ascii="Arial" w:eastAsia="Calibri" w:hAnsi="Arial" w:cs="Arial"/>
          <w:kern w:val="2"/>
          <w:lang w:val="sr-Cyrl-RS"/>
          <w14:ligatures w14:val="standardContextual"/>
        </w:rPr>
        <w:t>ж</w:t>
      </w:r>
      <w:r w:rsidRPr="009C35B6">
        <w:rPr>
          <w:rFonts w:ascii="Arial" w:eastAsia="Calibri" w:hAnsi="Arial" w:cs="Arial"/>
          <w:kern w:val="2"/>
          <w:lang w:val="de-DE"/>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de-DE"/>
          <w14:ligatures w14:val="standardContextual"/>
        </w:rPr>
        <w:t>ера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електротехнике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de-DE"/>
          <w14:ligatures w14:val="standardContextual"/>
        </w:rPr>
        <w:t>лиценцом</w:t>
      </w:r>
      <w:r w:rsidRPr="009C35B6">
        <w:rPr>
          <w:rFonts w:ascii="Arial" w:eastAsia="Calibri" w:hAnsi="Arial" w:cs="Arial"/>
          <w:kern w:val="2"/>
          <w:lang w:val="sr-Cyrl-RS"/>
          <w14:ligatures w14:val="standardContextual"/>
        </w:rPr>
        <w:t xml:space="preserve"> 350 (351И).</w:t>
      </w:r>
    </w:p>
    <w:p w14:paraId="51D6D4D8"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39B04A2C"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14:paraId="3B1A3C72"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lastRenderedPageBreak/>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tbl>
      <w:tblPr>
        <w:tblStyle w:val="GridTable4-Accent11"/>
        <w:tblW w:w="0" w:type="auto"/>
        <w:tblLook w:val="04A0" w:firstRow="1" w:lastRow="0" w:firstColumn="1" w:lastColumn="0" w:noHBand="0" w:noVBand="1"/>
      </w:tblPr>
      <w:tblGrid>
        <w:gridCol w:w="5098"/>
        <w:gridCol w:w="3918"/>
      </w:tblGrid>
      <w:tr w:rsidR="009C35B6" w:rsidRPr="009C35B6" w14:paraId="0514F789" w14:textId="77777777" w:rsidTr="009C35B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788DBFAC"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14:paraId="70FF16A7" w14:textId="77777777"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80 пондера</w:t>
            </w:r>
          </w:p>
        </w:tc>
      </w:tr>
      <w:tr w:rsidR="009C35B6" w:rsidRPr="009C35B6" w14:paraId="766831C0" w14:textId="77777777" w:rsidTr="009C35B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06907C8"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Квалификације радно ангажованог лица (К)</w:t>
            </w:r>
          </w:p>
        </w:tc>
        <w:tc>
          <w:tcPr>
            <w:tcW w:w="3918" w:type="dxa"/>
            <w:vAlign w:val="center"/>
          </w:tcPr>
          <w:p w14:paraId="285C424C"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20 пондера</w:t>
            </w:r>
          </w:p>
        </w:tc>
      </w:tr>
    </w:tbl>
    <w:p w14:paraId="16499248"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F7D8DA1"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 xml:space="preserve">Цена </w:t>
      </w:r>
    </w:p>
    <w:p w14:paraId="2EAF192E"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14:paraId="0E65BC53"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6FF681FC"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80*</w:t>
      </w:r>
    </w:p>
    <w:p w14:paraId="5EE58579"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14:paraId="263E6693"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14:paraId="42F1D34B"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Квалификације радно ангажованог лица (К)</w:t>
      </w:r>
    </w:p>
    <w:p w14:paraId="5243BF6F"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Код</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овог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критеријума</w:t>
      </w:r>
      <w:r w:rsidRPr="009C35B6">
        <w:rPr>
          <w:rFonts w:ascii="Arial" w:eastAsia="Calibri" w:hAnsi="Arial" w:cs="Arial"/>
          <w:kern w:val="2"/>
          <w:lang w:val="sr-Cyrl-RS"/>
          <w14:ligatures w14:val="standardContextual"/>
        </w:rPr>
        <w:t xml:space="preserve"> пондерисаће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искуство</w:t>
      </w:r>
      <w:r w:rsidRPr="009C35B6">
        <w:rPr>
          <w:rFonts w:ascii="Arial" w:eastAsia="Calibri" w:hAnsi="Arial" w:cs="Arial"/>
          <w:kern w:val="2"/>
          <w:lang w:val="sr-Cyrl-RS"/>
          <w14:ligatures w14:val="standardContextual"/>
        </w:rPr>
        <w:t xml:space="preserve"> радно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300 (321</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које</w:t>
      </w:r>
      <w:r w:rsidRPr="009C35B6">
        <w:rPr>
          <w:rFonts w:ascii="Arial" w:eastAsia="Calibri" w:hAnsi="Arial" w:cs="Arial"/>
          <w:kern w:val="2"/>
          <w:lang w:val="sr-Cyrl-RS"/>
          <w14:ligatures w14:val="standardContextual"/>
        </w:rPr>
        <w:t xml:space="preserve"> ћ</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извр</w:t>
      </w:r>
      <w:r w:rsidRPr="009C35B6">
        <w:rPr>
          <w:rFonts w:ascii="Arial" w:eastAsia="Calibri" w:hAnsi="Arial" w:cs="Arial"/>
          <w:kern w:val="2"/>
          <w:lang w:val="sr-Cyrl-RS"/>
          <w14:ligatures w14:val="standardContextual"/>
        </w:rPr>
        <w:t>ш</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уговора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својству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одговорног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пројектанта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израдило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Пројекат</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гра</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евинску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дозволу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изград</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објекта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високоград</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или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w:t>
      </w:r>
      <w:r w:rsidRPr="009C35B6">
        <w:rPr>
          <w:rFonts w:ascii="Arial" w:eastAsia="Calibri" w:hAnsi="Arial" w:cs="Arial"/>
          <w:kern w:val="2"/>
          <w:lang w:val="sr-Cyrl-RS"/>
          <w14:ligatures w14:val="standardContextual"/>
        </w:rPr>
        <w:t>ш</w:t>
      </w:r>
      <w:r w:rsidRPr="009C35B6">
        <w:rPr>
          <w:rFonts w:ascii="Arial" w:eastAsia="Calibri" w:hAnsi="Arial" w:cs="Arial"/>
          <w:kern w:val="2"/>
          <w:lang w:val="ru-RU"/>
          <w14:ligatures w14:val="standardContextual"/>
        </w:rPr>
        <w:t>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техни</w:t>
      </w:r>
      <w:r w:rsidRPr="009C35B6">
        <w:rPr>
          <w:rFonts w:ascii="Arial" w:eastAsia="Calibri" w:hAnsi="Arial" w:cs="Arial"/>
          <w:kern w:val="2"/>
          <w:lang w:val="sr-Cyrl-RS"/>
          <w14:ligatures w14:val="standardContextual"/>
        </w:rPr>
        <w:t>ч</w:t>
      </w:r>
      <w:r w:rsidRPr="009C35B6">
        <w:rPr>
          <w:rFonts w:ascii="Arial" w:eastAsia="Calibri" w:hAnsi="Arial" w:cs="Arial"/>
          <w:kern w:val="2"/>
          <w:lang w:val="ru-RU"/>
          <w14:ligatures w14:val="standardContextual"/>
        </w:rPr>
        <w:t>ку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контролу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гра</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евинску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дозволу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изград</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објекта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високоград</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w:t>
      </w:r>
    </w:p>
    <w:p w14:paraId="0C13E157"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Оцењивање ће се вршити по следећој формули:</w:t>
      </w:r>
    </w:p>
    <w:tbl>
      <w:tblPr>
        <w:tblStyle w:val="GridTable6Colorful-Accent11"/>
        <w:tblW w:w="0" w:type="auto"/>
        <w:tblLook w:val="04A0" w:firstRow="1" w:lastRow="0" w:firstColumn="1" w:lastColumn="0" w:noHBand="0" w:noVBand="1"/>
      </w:tblPr>
      <w:tblGrid>
        <w:gridCol w:w="5665"/>
        <w:gridCol w:w="3351"/>
      </w:tblGrid>
      <w:tr w:rsidR="009C35B6" w:rsidRPr="009C35B6" w14:paraId="4D80C5AE" w14:textId="77777777" w:rsidTr="0049567C">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71B87C2D" w14:textId="77777777" w:rsidR="009C35B6" w:rsidRPr="009C35B6" w:rsidRDefault="009C35B6" w:rsidP="009C35B6">
            <w:pPr>
              <w:tabs>
                <w:tab w:val="left" w:pos="567"/>
              </w:tabs>
              <w:spacing w:line="276" w:lineRule="auto"/>
              <w:jc w:val="center"/>
              <w:rPr>
                <w:rFonts w:ascii="Arial" w:eastAsia="Calibri" w:hAnsi="Arial" w:cs="Arial"/>
                <w:color w:val="000000"/>
                <w:u w:val="single"/>
                <w:lang w:val="sr-Cyrl-RS"/>
              </w:rPr>
            </w:pPr>
            <w:r w:rsidRPr="009C35B6">
              <w:rPr>
                <w:rFonts w:ascii="Arial" w:eastAsia="Calibri" w:hAnsi="Arial" w:cs="Arial"/>
                <w:color w:val="000000"/>
                <w:lang w:val="sr-Cyrl-RS"/>
              </w:rPr>
              <w:t>Квалификације радно ангажованог лица</w:t>
            </w:r>
          </w:p>
        </w:tc>
      </w:tr>
      <w:tr w:rsidR="009C35B6" w:rsidRPr="009C35B6" w14:paraId="0C52CEF6"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02C7D73"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Број израђених пројеката/извршених техничких контрола</w:t>
            </w:r>
          </w:p>
        </w:tc>
        <w:tc>
          <w:tcPr>
            <w:tcW w:w="3351" w:type="dxa"/>
            <w:vAlign w:val="center"/>
          </w:tcPr>
          <w:p w14:paraId="25D58B6E"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r w:rsidRPr="009C35B6">
              <w:rPr>
                <w:rFonts w:ascii="Arial" w:eastAsia="Calibri" w:hAnsi="Arial" w:cs="Arial"/>
                <w:b/>
                <w:bCs/>
                <w:color w:val="000000"/>
                <w:lang w:val="sr-Cyrl-RS"/>
              </w:rPr>
              <w:t>Број пондера</w:t>
            </w:r>
          </w:p>
        </w:tc>
      </w:tr>
      <w:tr w:rsidR="009C35B6" w:rsidRPr="009C35B6" w14:paraId="49C21BCA" w14:textId="77777777" w:rsidTr="0049567C">
        <w:trPr>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FDA583B"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0 израђених пројеката/извршених техничких контрола</w:t>
            </w:r>
          </w:p>
        </w:tc>
        <w:tc>
          <w:tcPr>
            <w:tcW w:w="3351" w:type="dxa"/>
            <w:vAlign w:val="center"/>
          </w:tcPr>
          <w:p w14:paraId="5677B75C" w14:textId="77777777"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0 пондера</w:t>
            </w:r>
          </w:p>
        </w:tc>
      </w:tr>
      <w:tr w:rsidR="009C35B6" w:rsidRPr="009C35B6" w14:paraId="16FED438"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6B0E648"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1 - 3 израђених пројеката/извршених техничких контрола</w:t>
            </w:r>
          </w:p>
        </w:tc>
        <w:tc>
          <w:tcPr>
            <w:tcW w:w="3351" w:type="dxa"/>
            <w:vAlign w:val="center"/>
          </w:tcPr>
          <w:p w14:paraId="3B7F2017"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3 пондера</w:t>
            </w:r>
          </w:p>
        </w:tc>
      </w:tr>
      <w:tr w:rsidR="009C35B6" w:rsidRPr="009C35B6" w14:paraId="5780A7B1" w14:textId="77777777" w:rsidTr="0049567C">
        <w:trPr>
          <w:trHeight w:val="54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49203538"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4 – 6 израђених пројеката/извршених техничких контрола</w:t>
            </w:r>
          </w:p>
        </w:tc>
        <w:tc>
          <w:tcPr>
            <w:tcW w:w="3351" w:type="dxa"/>
            <w:vAlign w:val="center"/>
          </w:tcPr>
          <w:p w14:paraId="73A68D1E" w14:textId="77777777"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6 пондера</w:t>
            </w:r>
          </w:p>
        </w:tc>
      </w:tr>
      <w:tr w:rsidR="009C35B6" w:rsidRPr="009C35B6" w14:paraId="3EAA87DA" w14:textId="77777777" w:rsidTr="009C35B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DAE0B70"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7 – 9 израђених пројеката/извршених техничких контрола</w:t>
            </w:r>
          </w:p>
        </w:tc>
        <w:tc>
          <w:tcPr>
            <w:tcW w:w="3351" w:type="dxa"/>
            <w:vAlign w:val="center"/>
          </w:tcPr>
          <w:p w14:paraId="18F9B53C"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10 пондера</w:t>
            </w:r>
          </w:p>
        </w:tc>
      </w:tr>
      <w:tr w:rsidR="009C35B6" w:rsidRPr="009C35B6" w14:paraId="6654615D" w14:textId="77777777" w:rsidTr="0049567C">
        <w:trPr>
          <w:trHeight w:val="56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F2A93DB"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10 - 12 израђених пројеката/извршених техничких контрола</w:t>
            </w:r>
          </w:p>
        </w:tc>
        <w:tc>
          <w:tcPr>
            <w:tcW w:w="3351" w:type="dxa"/>
            <w:vAlign w:val="center"/>
          </w:tcPr>
          <w:p w14:paraId="0F771459" w14:textId="77777777"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15 пондера</w:t>
            </w:r>
          </w:p>
        </w:tc>
      </w:tr>
      <w:tr w:rsidR="009C35B6" w:rsidRPr="009C35B6" w14:paraId="65073D90" w14:textId="77777777" w:rsidTr="009C35B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4E280E1E"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13 и више израђених пројеката/извршених техничких контрола</w:t>
            </w:r>
          </w:p>
        </w:tc>
        <w:tc>
          <w:tcPr>
            <w:tcW w:w="3351" w:type="dxa"/>
            <w:vAlign w:val="center"/>
          </w:tcPr>
          <w:p w14:paraId="71B26CDD"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20 пондера</w:t>
            </w:r>
          </w:p>
        </w:tc>
      </w:tr>
      <w:tr w:rsidR="009C35B6" w:rsidRPr="009C35B6" w14:paraId="744023A9" w14:textId="77777777" w:rsidTr="0049567C">
        <w:trPr>
          <w:trHeight w:val="554"/>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1D1B113" w14:textId="77777777" w:rsidR="009C35B6" w:rsidRPr="009C35B6" w:rsidRDefault="009C35B6" w:rsidP="009C35B6">
            <w:pPr>
              <w:tabs>
                <w:tab w:val="left" w:pos="567"/>
              </w:tabs>
              <w:spacing w:line="276" w:lineRule="auto"/>
              <w:jc w:val="center"/>
              <w:rPr>
                <w:rFonts w:ascii="Arial" w:eastAsia="Calibri" w:hAnsi="Arial" w:cs="Arial"/>
                <w:u w:val="single"/>
                <w:lang w:val="sr-Cyrl-RS"/>
              </w:rPr>
            </w:pPr>
            <w:r w:rsidRPr="009C35B6">
              <w:rPr>
                <w:rFonts w:ascii="Arial" w:eastAsia="Calibri" w:hAnsi="Arial" w:cs="Arial"/>
                <w:color w:val="000000"/>
                <w:lang w:val="sr-Cyrl-RS"/>
              </w:rPr>
              <w:lastRenderedPageBreak/>
              <w:t>Максималан број пондера за критеријум К</w:t>
            </w:r>
          </w:p>
        </w:tc>
        <w:tc>
          <w:tcPr>
            <w:tcW w:w="3351" w:type="dxa"/>
            <w:vAlign w:val="center"/>
          </w:tcPr>
          <w:p w14:paraId="44831818" w14:textId="77777777"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u w:val="single"/>
                <w:lang w:val="sr-Cyrl-RS"/>
              </w:rPr>
            </w:pPr>
            <w:r w:rsidRPr="009C35B6">
              <w:rPr>
                <w:rFonts w:ascii="Arial" w:eastAsia="Calibri" w:hAnsi="Arial" w:cs="Arial"/>
                <w:b/>
                <w:bCs/>
                <w:color w:val="000000"/>
                <w:lang w:val="sr-Cyrl-RS"/>
              </w:rPr>
              <w:t>20 пондера</w:t>
            </w:r>
          </w:p>
        </w:tc>
      </w:tr>
    </w:tbl>
    <w:p w14:paraId="66047C5C" w14:textId="77777777" w:rsidR="009C35B6" w:rsidRPr="009C35B6" w:rsidRDefault="009C35B6" w:rsidP="009C35B6">
      <w:pPr>
        <w:tabs>
          <w:tab w:val="left" w:pos="567"/>
        </w:tabs>
        <w:spacing w:after="160" w:line="276" w:lineRule="auto"/>
        <w:jc w:val="both"/>
        <w:rPr>
          <w:rFonts w:ascii="Arial" w:eastAsia="Calibri" w:hAnsi="Arial" w:cs="Arial"/>
          <w:kern w:val="2"/>
          <w:u w:val="single"/>
          <w:lang w:val="sr-Cyrl-RS"/>
          <w14:ligatures w14:val="standardContextual"/>
        </w:rPr>
      </w:pPr>
    </w:p>
    <w:p w14:paraId="5523B57B" w14:textId="77777777"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14:paraId="55F60447"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К</w:t>
      </w:r>
    </w:p>
    <w:p w14:paraId="5A0EF467" w14:textId="77777777" w:rsidR="009C35B6" w:rsidRPr="009C35B6" w:rsidRDefault="009C35B6" w:rsidP="009C35B6">
      <w:pPr>
        <w:tabs>
          <w:tab w:val="left" w:pos="567"/>
        </w:tabs>
        <w:spacing w:line="276" w:lineRule="auto"/>
        <w:jc w:val="both"/>
        <w:rPr>
          <w:rFonts w:ascii="Arial" w:eastAsia="Calibri" w:hAnsi="Arial" w:cs="Arial"/>
          <w:kern w:val="2"/>
          <w:u w:val="single"/>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14:paraId="0B8B2B78" w14:textId="77777777" w:rsidTr="009C35B6">
        <w:tc>
          <w:tcPr>
            <w:tcW w:w="9016" w:type="dxa"/>
            <w:shd w:val="clear" w:color="auto" w:fill="B6E1E7"/>
          </w:tcPr>
          <w:p w14:paraId="0AC300BE" w14:textId="77777777"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66432" behindDoc="0" locked="0" layoutInCell="1" allowOverlap="1" wp14:anchorId="2FC95700" wp14:editId="5A1B7A3C">
                      <wp:simplePos x="0" y="0"/>
                      <wp:positionH relativeFrom="column">
                        <wp:posOffset>149225</wp:posOffset>
                      </wp:positionH>
                      <wp:positionV relativeFrom="paragraph">
                        <wp:posOffset>66675</wp:posOffset>
                      </wp:positionV>
                      <wp:extent cx="495300" cy="323850"/>
                      <wp:effectExtent l="0" t="19050" r="38100" b="38100"/>
                      <wp:wrapNone/>
                      <wp:docPr id="1764866743"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4E903" id="Arrow: Right 7" o:spid="_x0000_s1026" type="#_x0000_t13" style="position:absolute;margin-left:11.75pt;margin-top:5.25pt;width:39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14:paraId="76002D05" w14:textId="77777777" w:rsidR="009C35B6" w:rsidRPr="009C35B6" w:rsidRDefault="009C35B6" w:rsidP="009C35B6">
            <w:pPr>
              <w:tabs>
                <w:tab w:val="left" w:pos="567"/>
              </w:tabs>
              <w:spacing w:line="276" w:lineRule="auto"/>
              <w:jc w:val="both"/>
              <w:rPr>
                <w:rFonts w:ascii="Arial" w:eastAsia="Calibri" w:hAnsi="Arial" w:cs="Arial"/>
                <w:lang w:val="sr-Cyrl-RS"/>
              </w:rPr>
            </w:pPr>
          </w:p>
          <w:p w14:paraId="7FCC1B43" w14:textId="77777777"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поред тога што у обрасцу понуде наводе име и презиме радно ангажованог лица, као и податак да ли лице има тражено искуство, уз понуду достављају уговор о радном ангажовању лица, као и доказе којима се потврђује тражено искуство у оквиру критеријума за доделу уговора (на пример, потврде послодавца о стеченом искуству и др).</w:t>
            </w:r>
          </w:p>
          <w:p w14:paraId="543EE2AF" w14:textId="77777777" w:rsidR="009C35B6" w:rsidRPr="009C35B6" w:rsidRDefault="009C35B6" w:rsidP="009C35B6">
            <w:pPr>
              <w:tabs>
                <w:tab w:val="left" w:pos="567"/>
              </w:tabs>
              <w:spacing w:line="276" w:lineRule="auto"/>
              <w:jc w:val="both"/>
              <w:rPr>
                <w:rFonts w:ascii="Arial" w:eastAsia="Calibri" w:hAnsi="Arial" w:cs="Arial"/>
                <w:lang w:val="sr-Cyrl-RS"/>
              </w:rPr>
            </w:pPr>
          </w:p>
        </w:tc>
      </w:tr>
    </w:tbl>
    <w:p w14:paraId="750F508A"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6791B5F1"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5BFDC979"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32270884"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1E7E7677"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749363C8"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5567E478"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0DB4B054"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67DD4D19"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2FE395F8"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48FD156C"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302BB145"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173C6029" w14:textId="5E16A8F0" w:rsid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265BE312" w14:textId="4426A7AE" w:rsidR="00696018" w:rsidRDefault="00696018"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19FB89BE" w14:textId="68197ECA" w:rsidR="00696018" w:rsidRDefault="00696018"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0E8EAE15" w14:textId="77777777" w:rsidR="00D9691F" w:rsidRDefault="00D9691F" w:rsidP="00696018">
      <w:pPr>
        <w:jc w:val="center"/>
        <w:rPr>
          <w:rFonts w:ascii="Arial" w:hAnsi="Arial" w:cs="Arial"/>
          <w:b/>
          <w:bCs/>
          <w:color w:val="0989B1"/>
          <w:kern w:val="2"/>
          <w:lang w:val="sr-Cyrl-RS"/>
          <w14:ligatures w14:val="standardContextual"/>
        </w:rPr>
      </w:pPr>
    </w:p>
    <w:p w14:paraId="23644A76" w14:textId="77777777" w:rsidR="00D9691F" w:rsidRDefault="00D9691F" w:rsidP="00696018">
      <w:pPr>
        <w:jc w:val="center"/>
        <w:rPr>
          <w:rFonts w:ascii="Arial" w:hAnsi="Arial" w:cs="Arial"/>
          <w:b/>
          <w:bCs/>
          <w:color w:val="0989B1"/>
          <w:kern w:val="2"/>
          <w:lang w:val="sr-Cyrl-RS"/>
          <w14:ligatures w14:val="standardContextual"/>
        </w:rPr>
      </w:pPr>
    </w:p>
    <w:p w14:paraId="2727B280" w14:textId="15E84EEC" w:rsidR="009C35B6" w:rsidRPr="00696018" w:rsidRDefault="009C35B6" w:rsidP="00D9691F">
      <w:pPr>
        <w:pStyle w:val="Heading2"/>
      </w:pPr>
      <w:bookmarkStart w:id="9" w:name="_Toc184988059"/>
      <w:r w:rsidRPr="00696018">
        <w:lastRenderedPageBreak/>
        <w:t>3.4. ГОРИВО ЗА МОТОРНА ВОЗИЛА</w:t>
      </w:r>
      <w:bookmarkEnd w:id="9"/>
    </w:p>
    <w:p w14:paraId="4C620358" w14:textId="77777777" w:rsidR="00696018" w:rsidRPr="009C35B6" w:rsidRDefault="00696018" w:rsidP="00696018">
      <w:pPr>
        <w:pStyle w:val="Heading2"/>
        <w:rPr>
          <w:rFonts w:eastAsia="Calibri"/>
        </w:rPr>
      </w:pPr>
    </w:p>
    <w:p w14:paraId="38F78EF9" w14:textId="77777777" w:rsidR="009C35B6" w:rsidRPr="009C35B6" w:rsidRDefault="009C35B6" w:rsidP="00341D3C">
      <w:pPr>
        <w:numPr>
          <w:ilvl w:val="0"/>
          <w:numId w:val="2"/>
        </w:numPr>
        <w:tabs>
          <w:tab w:val="left" w:pos="567"/>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b/>
          <w:bCs/>
          <w:kern w:val="2"/>
          <w:lang w:val="sr-Cyrl-RS"/>
          <w14:ligatures w14:val="standardContextual"/>
        </w:rPr>
        <w:t xml:space="preserve"> </w:t>
      </w:r>
      <w:r w:rsidRPr="009C35B6">
        <w:rPr>
          <w:rFonts w:ascii="Arial" w:eastAsia="Calibri" w:hAnsi="Arial" w:cs="Arial"/>
          <w:i/>
          <w:iCs/>
          <w:kern w:val="2"/>
          <w:u w:val="single"/>
          <w:lang w:val="sr-Cyrl-RS"/>
          <w14:ligatures w14:val="standardContextual"/>
        </w:rPr>
        <w:t>Уопштено о предмету набавке:</w:t>
      </w:r>
    </w:p>
    <w:p w14:paraId="0C34C253"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Предмет јавне набавке представља куповина горива за моторна возила и то </w:t>
      </w:r>
      <w:r w:rsidRPr="009C35B6">
        <w:rPr>
          <w:rFonts w:ascii="Arial" w:eastAsia="Calibri" w:hAnsi="Arial" w:cs="Arial"/>
          <w:kern w:val="2"/>
          <w:lang w:val="ru-RU"/>
          <w14:ligatures w14:val="standardContextual"/>
        </w:rPr>
        <w:t>Евро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дизел</w:t>
      </w:r>
      <w:r w:rsidRPr="009C35B6">
        <w:rPr>
          <w:rFonts w:ascii="Arial" w:eastAsia="Calibri" w:hAnsi="Arial" w:cs="Arial"/>
          <w:kern w:val="2"/>
          <w:lang w:val="sr-Cyrl-RS"/>
          <w14:ligatures w14:val="standardContextual"/>
        </w:rPr>
        <w:t xml:space="preserve"> гориво и </w:t>
      </w:r>
      <w:r w:rsidRPr="009C35B6">
        <w:rPr>
          <w:rFonts w:ascii="Arial" w:eastAsia="Calibri" w:hAnsi="Arial" w:cs="Arial"/>
          <w:kern w:val="2"/>
          <w:lang w:val="ru-RU"/>
          <w14:ligatures w14:val="standardContextual"/>
        </w:rPr>
        <w:t>Премиум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БМБ</w:t>
      </w:r>
      <w:r w:rsidRPr="009C35B6">
        <w:rPr>
          <w:rFonts w:ascii="Arial" w:eastAsia="Calibri" w:hAnsi="Arial" w:cs="Arial"/>
          <w:kern w:val="2"/>
          <w:lang w:val="sr-Cyrl-RS"/>
          <w14:ligatures w14:val="standardContextual"/>
        </w:rPr>
        <w:t xml:space="preserve"> 95.</w:t>
      </w:r>
    </w:p>
    <w:p w14:paraId="5F0F91CA"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Конкурсном документацијом је предвиђено да п</w:t>
      </w:r>
      <w:r w:rsidRPr="009C35B6">
        <w:rPr>
          <w:rFonts w:ascii="Arial" w:eastAsia="Calibri" w:hAnsi="Arial" w:cs="Arial"/>
          <w:kern w:val="2"/>
          <w:lang w:val="sr-Latn-CS"/>
          <w14:ligatures w14:val="standardContextual"/>
        </w:rPr>
        <w:t>онуђен</w:t>
      </w:r>
      <w:r w:rsidRPr="009C35B6">
        <w:rPr>
          <w:rFonts w:ascii="Arial" w:eastAsia="Calibri" w:hAnsi="Arial" w:cs="Arial"/>
          <w:kern w:val="2"/>
          <w:lang w:val="sr-Cyrl-RS"/>
          <w14:ligatures w14:val="standardContextual"/>
        </w:rPr>
        <w:t>о</w:t>
      </w:r>
      <w:r w:rsidRPr="009C35B6">
        <w:rPr>
          <w:rFonts w:ascii="Arial" w:eastAsia="Calibri" w:hAnsi="Arial" w:cs="Arial"/>
          <w:kern w:val="2"/>
          <w:lang w:val="sr-Latn-CS"/>
          <w14:ligatures w14:val="standardContextual"/>
        </w:rPr>
        <w:t xml:space="preserve"> </w:t>
      </w:r>
      <w:r w:rsidRPr="009C35B6">
        <w:rPr>
          <w:rFonts w:ascii="Arial" w:eastAsia="Calibri" w:hAnsi="Arial" w:cs="Arial"/>
          <w:kern w:val="2"/>
          <w:lang w:val="sr-Cyrl-RS"/>
          <w14:ligatures w14:val="standardContextual"/>
        </w:rPr>
        <w:t>гориво за моторна возила</w:t>
      </w:r>
      <w:r w:rsidRPr="009C35B6">
        <w:rPr>
          <w:rFonts w:ascii="Arial" w:eastAsia="Calibri" w:hAnsi="Arial" w:cs="Arial"/>
          <w:kern w:val="2"/>
          <w:lang w:val="sr-Latn-CS"/>
          <w14:ligatures w14:val="standardContextual"/>
        </w:rPr>
        <w:t xml:space="preserve"> мора да задовољава стандарде квалитета</w:t>
      </w:r>
      <w:r w:rsidRPr="009C35B6">
        <w:rPr>
          <w:rFonts w:ascii="Arial" w:eastAsia="Calibri" w:hAnsi="Arial" w:cs="Arial"/>
          <w:kern w:val="2"/>
          <w:lang w:val="sr-Cyrl-CS"/>
          <w14:ligatures w14:val="standardContextual"/>
        </w:rPr>
        <w:t xml:space="preserve"> према </w:t>
      </w:r>
      <w:r w:rsidRPr="009C35B6">
        <w:rPr>
          <w:rFonts w:ascii="Arial" w:eastAsia="Calibri" w:hAnsi="Arial" w:cs="Arial"/>
          <w:kern w:val="2"/>
          <w:lang w:val="sr-Cyrl-RS"/>
          <w14:ligatures w14:val="standardContextual"/>
        </w:rPr>
        <w:t xml:space="preserve">важећем </w:t>
      </w:r>
      <w:r w:rsidRPr="009C35B6">
        <w:rPr>
          <w:rFonts w:ascii="Arial" w:eastAsia="Calibri" w:hAnsi="Arial" w:cs="Arial"/>
          <w:kern w:val="2"/>
          <w:lang w:val="sr-Cyrl-CS"/>
          <w14:ligatures w14:val="standardContextual"/>
        </w:rPr>
        <w:t xml:space="preserve">Правилнику о техничким и другим захтевима за течна горива нафтног порекла и </w:t>
      </w:r>
      <w:r w:rsidRPr="009C35B6">
        <w:rPr>
          <w:rFonts w:ascii="Arial" w:eastAsia="Calibri" w:hAnsi="Arial" w:cs="Arial"/>
          <w:kern w:val="2"/>
          <w:lang w:val="sr-Latn-RS"/>
          <w14:ligatures w14:val="standardContextual"/>
        </w:rPr>
        <w:t xml:space="preserve">СРПС </w:t>
      </w:r>
      <w:r w:rsidRPr="009C35B6">
        <w:rPr>
          <w:rFonts w:ascii="Arial" w:eastAsia="Calibri" w:hAnsi="Arial" w:cs="Arial"/>
          <w:kern w:val="2"/>
          <w:lang w:val="sr-Cyrl-RS"/>
          <w14:ligatures w14:val="standardContextual"/>
        </w:rPr>
        <w:t>стандарде</w:t>
      </w:r>
      <w:r w:rsidRPr="009C35B6">
        <w:rPr>
          <w:rFonts w:ascii="Arial" w:eastAsia="Calibri" w:hAnsi="Arial" w:cs="Arial"/>
          <w:kern w:val="2"/>
          <w:lang w:val="sr-Latn-RS"/>
          <w14:ligatures w14:val="standardContextual"/>
        </w:rPr>
        <w:t xml:space="preserve"> </w:t>
      </w:r>
      <w:r w:rsidRPr="009C35B6">
        <w:rPr>
          <w:rFonts w:ascii="Arial" w:eastAsia="Calibri" w:hAnsi="Arial" w:cs="Arial"/>
          <w:kern w:val="2"/>
          <w:lang w:val="sr-Cyrl-RS"/>
          <w14:ligatures w14:val="standardContextual"/>
        </w:rPr>
        <w:t>на које се Правилник позива.</w:t>
      </w:r>
      <w:r w:rsidRPr="009C35B6">
        <w:rPr>
          <w:rFonts w:ascii="Arial" w:eastAsia="Calibri" w:hAnsi="Arial" w:cs="Arial"/>
          <w:kern w:val="2"/>
          <w:lang w:val="sr-Cyrl-RS"/>
          <w14:ligatures w14:val="standardContextual"/>
        </w:rPr>
        <w:tab/>
      </w:r>
    </w:p>
    <w:p w14:paraId="7358CF97"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Испорука предметног добра врши се сукцесивно, према потребама наручиоца, путем евиденционих картица на бензинским станицама понуђача на територији Републике Србије.</w:t>
      </w:r>
    </w:p>
    <w:p w14:paraId="3120D28F" w14:textId="77777777" w:rsidR="009C35B6" w:rsidRPr="009C35B6" w:rsidRDefault="009C35B6" w:rsidP="009C35B6">
      <w:pPr>
        <w:tabs>
          <w:tab w:val="left" w:pos="567"/>
        </w:tabs>
        <w:spacing w:after="160" w:line="276" w:lineRule="auto"/>
        <w:jc w:val="both"/>
        <w:rPr>
          <w:rFonts w:ascii="Arial" w:eastAsia="Calibri" w:hAnsi="Arial" w:cs="Arial"/>
          <w:kern w:val="2"/>
          <w:lang w:val="ru-RU"/>
          <w14:ligatures w14:val="standardContextual"/>
        </w:rPr>
      </w:pPr>
      <w:r w:rsidRPr="009C35B6">
        <w:rPr>
          <w:rFonts w:ascii="Arial" w:eastAsia="Calibri" w:hAnsi="Arial" w:cs="Arial"/>
          <w:kern w:val="2"/>
          <w:lang w:val="sr-Cyrl-RS"/>
          <w14:ligatures w14:val="standardContextual"/>
        </w:rPr>
        <w:tab/>
        <w:t>Евиденциона</w:t>
      </w:r>
      <w:r w:rsidRPr="009C35B6">
        <w:rPr>
          <w:rFonts w:ascii="Arial" w:eastAsia="Calibri" w:hAnsi="Arial" w:cs="Arial"/>
          <w:kern w:val="2"/>
          <w:lang w:val="ru-RU"/>
          <w14:ligatures w14:val="standardContextual"/>
        </w:rPr>
        <w:t xml:space="preserve"> картица представља средство евидентирања купопродајних трансакција горива које врши наручилац. </w:t>
      </w:r>
    </w:p>
    <w:p w14:paraId="533A97C8" w14:textId="77777777" w:rsidR="009C35B6" w:rsidRPr="009C35B6" w:rsidRDefault="009C35B6" w:rsidP="009C35B6">
      <w:pPr>
        <w:tabs>
          <w:tab w:val="left" w:pos="567"/>
        </w:tabs>
        <w:spacing w:after="160" w:line="276" w:lineRule="auto"/>
        <w:jc w:val="both"/>
        <w:rPr>
          <w:rFonts w:ascii="Arial" w:eastAsia="Calibri" w:hAnsi="Arial" w:cs="Arial"/>
          <w:kern w:val="2"/>
          <w:lang w:val="ru-RU"/>
          <w14:ligatures w14:val="standardContextual"/>
        </w:rPr>
      </w:pPr>
      <w:r w:rsidRPr="009C35B6">
        <w:rPr>
          <w:rFonts w:ascii="Arial" w:eastAsia="Calibri" w:hAnsi="Arial" w:cs="Arial"/>
          <w:kern w:val="2"/>
          <w:lang w:val="ru-RU"/>
          <w14:ligatures w14:val="standardContextual"/>
        </w:rPr>
        <w:tab/>
        <w:t xml:space="preserve">Наручивање и преузимање картица од понуђача вршиће се на основу писаног захтева наручиоца, који садржи врсту возила за које ће бити издата картица. </w:t>
      </w:r>
    </w:p>
    <w:p w14:paraId="09DDB9B6" w14:textId="77777777" w:rsidR="009C35B6" w:rsidRPr="009C35B6" w:rsidRDefault="009C35B6" w:rsidP="009C35B6">
      <w:pPr>
        <w:tabs>
          <w:tab w:val="left" w:pos="567"/>
        </w:tabs>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sl-SI"/>
          <w14:ligatures w14:val="standardContextual"/>
        </w:rPr>
        <w:t>Уношење ПИН-а је обавез</w:t>
      </w:r>
      <w:r w:rsidRPr="009C35B6">
        <w:rPr>
          <w:rFonts w:ascii="Arial" w:eastAsia="Calibri" w:hAnsi="Arial" w:cs="Arial"/>
          <w:kern w:val="2"/>
          <w:lang w:val="sr-Cyrl-CS"/>
          <w14:ligatures w14:val="standardContextual"/>
        </w:rPr>
        <w:t>а</w:t>
      </w:r>
      <w:r w:rsidRPr="009C35B6">
        <w:rPr>
          <w:rFonts w:ascii="Arial" w:eastAsia="Calibri" w:hAnsi="Arial" w:cs="Arial"/>
          <w:kern w:val="2"/>
          <w:lang w:val="sl-SI"/>
          <w14:ligatures w14:val="standardContextual"/>
        </w:rPr>
        <w:t xml:space="preserve">н елемент за коришћење и заштиту </w:t>
      </w:r>
      <w:r w:rsidRPr="009C35B6">
        <w:rPr>
          <w:rFonts w:ascii="Arial" w:eastAsia="Calibri" w:hAnsi="Arial" w:cs="Arial"/>
          <w:kern w:val="2"/>
          <w:lang w:val="sr-Cyrl-CS"/>
          <w14:ligatures w14:val="standardContextual"/>
        </w:rPr>
        <w:t>евиденционе</w:t>
      </w:r>
      <w:r w:rsidRPr="009C35B6">
        <w:rPr>
          <w:rFonts w:ascii="Arial" w:eastAsia="Calibri" w:hAnsi="Arial" w:cs="Arial"/>
          <w:kern w:val="2"/>
          <w:lang w:val="sl-SI"/>
          <w14:ligatures w14:val="standardContextual"/>
        </w:rPr>
        <w:t xml:space="preserve"> картице</w:t>
      </w:r>
      <w:r w:rsidRPr="009C35B6">
        <w:rPr>
          <w:rFonts w:ascii="Arial" w:eastAsia="Calibri" w:hAnsi="Arial" w:cs="Arial"/>
          <w:kern w:val="2"/>
          <w:lang w:val="sr-Cyrl-CS"/>
          <w14:ligatures w14:val="standardContextual"/>
        </w:rPr>
        <w:t>.</w:t>
      </w:r>
    </w:p>
    <w:p w14:paraId="1A2A3DBB"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ab/>
        <w:t xml:space="preserve">Продавац издаје картицу у року не дужем од 7 </w:t>
      </w:r>
      <w:r w:rsidRPr="009C35B6">
        <w:rPr>
          <w:rFonts w:ascii="Arial" w:eastAsia="Calibri" w:hAnsi="Arial" w:cs="Arial"/>
          <w:kern w:val="2"/>
          <w:lang w:val="sr-Cyrl-CS"/>
          <w14:ligatures w14:val="standardContextual"/>
        </w:rPr>
        <w:t>радних</w:t>
      </w:r>
      <w:r w:rsidRPr="009C35B6">
        <w:rPr>
          <w:rFonts w:ascii="Arial" w:eastAsia="Calibri" w:hAnsi="Arial" w:cs="Arial"/>
          <w:kern w:val="2"/>
          <w:lang w:val="ru-RU"/>
          <w14:ligatures w14:val="standardContextual"/>
        </w:rPr>
        <w:t xml:space="preserve"> дана од дана писаног захтева наручиоца. Трошкове издавања картице сноси Продавац.</w:t>
      </w:r>
    </w:p>
    <w:p w14:paraId="618EF4C4" w14:textId="77777777" w:rsidR="009C35B6" w:rsidRPr="009C35B6" w:rsidRDefault="009C35B6" w:rsidP="009C35B6">
      <w:pPr>
        <w:tabs>
          <w:tab w:val="left" w:pos="567"/>
        </w:tabs>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ab/>
        <w:t>Евиденционе картице ће се издавати на регистарски број возила.</w:t>
      </w:r>
    </w:p>
    <w:p w14:paraId="4450E822" w14:textId="77777777" w:rsidR="009C35B6" w:rsidRPr="009C35B6" w:rsidRDefault="009C35B6" w:rsidP="009C35B6">
      <w:pPr>
        <w:tabs>
          <w:tab w:val="left" w:pos="567"/>
        </w:tabs>
        <w:spacing w:line="276" w:lineRule="auto"/>
        <w:jc w:val="both"/>
        <w:rPr>
          <w:rFonts w:ascii="Arial" w:eastAsia="Calibri" w:hAnsi="Arial" w:cs="Arial"/>
          <w:kern w:val="2"/>
          <w:lang w:val="sr-Cyrl-CS"/>
          <w14:ligatures w14:val="standardContextual"/>
        </w:rPr>
      </w:pPr>
    </w:p>
    <w:p w14:paraId="6EE62D86"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14:paraId="0F6D7155"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tbl>
      <w:tblPr>
        <w:tblStyle w:val="GridTable4-Accent11"/>
        <w:tblW w:w="0" w:type="auto"/>
        <w:tblLook w:val="04A0" w:firstRow="1" w:lastRow="0" w:firstColumn="1" w:lastColumn="0" w:noHBand="0" w:noVBand="1"/>
      </w:tblPr>
      <w:tblGrid>
        <w:gridCol w:w="5098"/>
        <w:gridCol w:w="3918"/>
      </w:tblGrid>
      <w:tr w:rsidR="009C35B6" w:rsidRPr="009C35B6" w14:paraId="506BC43B"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74A182E5"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14:paraId="73279428" w14:textId="77777777"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70 пондера</w:t>
            </w:r>
          </w:p>
        </w:tc>
      </w:tr>
      <w:tr w:rsidR="009C35B6" w:rsidRPr="009C35B6" w14:paraId="199B9738"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153F575" w14:textId="77777777" w:rsidR="009C35B6" w:rsidRPr="009C35B6" w:rsidRDefault="009C35B6" w:rsidP="009C35B6">
            <w:pPr>
              <w:tabs>
                <w:tab w:val="left" w:pos="567"/>
              </w:tabs>
              <w:spacing w:line="276" w:lineRule="auto"/>
              <w:jc w:val="center"/>
              <w:rPr>
                <w:rFonts w:ascii="Arial" w:eastAsia="Calibri" w:hAnsi="Arial" w:cs="Arial"/>
                <w:lang w:val="sr-Cyrl-RS"/>
              </w:rPr>
            </w:pPr>
            <w:r w:rsidRPr="009C35B6">
              <w:rPr>
                <w:rFonts w:ascii="Arial" w:eastAsia="Calibri" w:hAnsi="Arial" w:cs="Arial"/>
                <w:lang w:val="sr-Cyrl-RS"/>
              </w:rPr>
              <w:t>Распрострањеност мреже (РМ)</w:t>
            </w:r>
          </w:p>
        </w:tc>
        <w:tc>
          <w:tcPr>
            <w:tcW w:w="3918" w:type="dxa"/>
            <w:vAlign w:val="center"/>
          </w:tcPr>
          <w:p w14:paraId="1CFC642B"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val="sr-Cyrl-RS"/>
              </w:rPr>
            </w:pPr>
            <w:r w:rsidRPr="009C35B6">
              <w:rPr>
                <w:rFonts w:ascii="Arial" w:eastAsia="Calibri" w:hAnsi="Arial" w:cs="Arial"/>
                <w:lang w:val="sr-Cyrl-RS"/>
              </w:rPr>
              <w:t>Макс. 30 пондера</w:t>
            </w:r>
          </w:p>
        </w:tc>
      </w:tr>
    </w:tbl>
    <w:p w14:paraId="010511C5" w14:textId="77777777" w:rsidR="009C35B6" w:rsidRPr="009C35B6" w:rsidRDefault="009C35B6" w:rsidP="009C35B6">
      <w:pPr>
        <w:tabs>
          <w:tab w:val="left" w:pos="567"/>
        </w:tabs>
        <w:spacing w:line="276" w:lineRule="auto"/>
        <w:jc w:val="both"/>
        <w:rPr>
          <w:rFonts w:ascii="Arial" w:eastAsia="Calibri" w:hAnsi="Arial" w:cs="Arial"/>
          <w:kern w:val="2"/>
          <w:lang w:val="sr-Cyrl-CS"/>
          <w14:ligatures w14:val="standardContextual"/>
        </w:rPr>
      </w:pPr>
    </w:p>
    <w:p w14:paraId="6F4F8BDF" w14:textId="54BE70FF" w:rsidR="00B11E1C" w:rsidRDefault="00B11E1C"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2901C57F" w14:textId="77777777" w:rsidR="00696018" w:rsidRDefault="00696018"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3A875E8D" w14:textId="1AE571E8"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lastRenderedPageBreak/>
        <w:t xml:space="preserve">Цена </w:t>
      </w:r>
    </w:p>
    <w:p w14:paraId="76431299"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14:paraId="062D78EA"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98449E7"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70*</w:t>
      </w:r>
    </w:p>
    <w:p w14:paraId="0313F2CC"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14:paraId="2F56215A" w14:textId="77777777" w:rsidR="009C35B6" w:rsidRPr="009C35B6" w:rsidRDefault="009C35B6" w:rsidP="009C35B6">
      <w:pPr>
        <w:tabs>
          <w:tab w:val="left" w:pos="567"/>
        </w:tabs>
        <w:spacing w:line="276" w:lineRule="auto"/>
        <w:jc w:val="both"/>
        <w:rPr>
          <w:rFonts w:ascii="Arial" w:eastAsia="Calibri" w:hAnsi="Arial" w:cs="Arial"/>
          <w:b/>
          <w:bCs/>
          <w:kern w:val="2"/>
          <w:u w:val="single"/>
          <w:lang w:val="sr-Cyrl-RS"/>
          <w14:ligatures w14:val="standardContextual"/>
        </w:rPr>
      </w:pPr>
    </w:p>
    <w:p w14:paraId="164A37BE"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Распрострањеност мреже (РМ)</w:t>
      </w:r>
    </w:p>
    <w:p w14:paraId="3849276D"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Код овог критеријума наручилац даје предност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 xml:space="preserve">чу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најве</w:t>
      </w:r>
      <w:r w:rsidRPr="009C35B6">
        <w:rPr>
          <w:rFonts w:ascii="Arial" w:eastAsia="Calibri" w:hAnsi="Arial" w:cs="Arial"/>
          <w:kern w:val="2"/>
          <w:lang w:val="sr-Cyrl-RS"/>
          <w14:ligatures w14:val="standardContextual"/>
        </w:rPr>
        <w:t>ћ</w:t>
      </w:r>
      <w:r w:rsidRPr="009C35B6">
        <w:rPr>
          <w:rFonts w:ascii="Arial" w:eastAsia="Calibri" w:hAnsi="Arial" w:cs="Arial"/>
          <w:kern w:val="2"/>
          <w:lang w:val="ru-RU"/>
          <w14:ligatures w14:val="standardContextual"/>
        </w:rPr>
        <w:t>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бројем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бензининских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станица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територији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Републике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Србије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оспособ</w:t>
      </w:r>
      <w:r w:rsidRPr="009C35B6">
        <w:rPr>
          <w:rFonts w:ascii="Arial" w:eastAsia="Calibri" w:hAnsi="Arial" w:cs="Arial"/>
          <w:kern w:val="2"/>
          <w:lang w:val="sr-Cyrl-RS"/>
          <w14:ligatures w14:val="standardContextual"/>
        </w:rPr>
        <w:t>љ</w:t>
      </w:r>
      <w:r w:rsidRPr="009C35B6">
        <w:rPr>
          <w:rFonts w:ascii="Arial" w:eastAsia="Calibri" w:hAnsi="Arial" w:cs="Arial"/>
          <w:kern w:val="2"/>
          <w:lang w:val="ru-RU"/>
          <w14:ligatures w14:val="standardContextual"/>
        </w:rPr>
        <w:t>ених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продају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горива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моторна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возила</w:t>
      </w:r>
      <w:r w:rsidRPr="009C35B6">
        <w:rPr>
          <w:rFonts w:ascii="Arial" w:eastAsia="Calibri" w:hAnsi="Arial" w:cs="Arial"/>
          <w:kern w:val="2"/>
          <w:lang w:val="sr-Cyrl-RS"/>
          <w14:ligatures w14:val="standardContextual"/>
        </w:rPr>
        <w:t xml:space="preserve"> путем евиденционих картица. </w:t>
      </w:r>
    </w:p>
    <w:p w14:paraId="697A4B4D"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Оцењивање ће се вршити по следећој формули:</w:t>
      </w:r>
    </w:p>
    <w:p w14:paraId="13A7A67C"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21AAB0E6"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РМ = П/МаксП х 30*</w:t>
      </w:r>
    </w:p>
    <w:p w14:paraId="2C5136D5"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*(РМ – број пондера критеријума, П = понуђена вредност за критеријум, МаксП = највећа понуђана вредност за критеријум)</w:t>
      </w:r>
    </w:p>
    <w:p w14:paraId="42B14399"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14:paraId="257B2398" w14:textId="77777777"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14:paraId="00113DFD"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РМ</w:t>
      </w:r>
    </w:p>
    <w:p w14:paraId="3083B621"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14:paraId="00E7A0DE" w14:textId="77777777" w:rsidTr="009C35B6">
        <w:tc>
          <w:tcPr>
            <w:tcW w:w="9016" w:type="dxa"/>
            <w:shd w:val="clear" w:color="auto" w:fill="B6E1E7"/>
          </w:tcPr>
          <w:bookmarkStart w:id="10" w:name="_Hlk182754869"/>
          <w:p w14:paraId="47EED1B4" w14:textId="77777777"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67456" behindDoc="0" locked="0" layoutInCell="1" allowOverlap="1" wp14:anchorId="6B2D2477" wp14:editId="3DDCCCD0">
                      <wp:simplePos x="0" y="0"/>
                      <wp:positionH relativeFrom="column">
                        <wp:posOffset>149225</wp:posOffset>
                      </wp:positionH>
                      <wp:positionV relativeFrom="paragraph">
                        <wp:posOffset>66675</wp:posOffset>
                      </wp:positionV>
                      <wp:extent cx="495300" cy="323850"/>
                      <wp:effectExtent l="0" t="19050" r="38100" b="38100"/>
                      <wp:wrapNone/>
                      <wp:docPr id="551191112"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F2FC2" id="Arrow: Right 7" o:spid="_x0000_s1026" type="#_x0000_t13" style="position:absolute;margin-left:11.75pt;margin-top:5.25pt;width:3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14:paraId="2FEFB2F8" w14:textId="77777777" w:rsidR="009C35B6" w:rsidRPr="009C35B6" w:rsidRDefault="009C35B6" w:rsidP="009C35B6">
            <w:pPr>
              <w:tabs>
                <w:tab w:val="left" w:pos="567"/>
              </w:tabs>
              <w:spacing w:line="276" w:lineRule="auto"/>
              <w:jc w:val="both"/>
              <w:rPr>
                <w:rFonts w:ascii="Arial" w:eastAsia="Calibri" w:hAnsi="Arial" w:cs="Arial"/>
                <w:lang w:val="sr-Cyrl-RS"/>
              </w:rPr>
            </w:pPr>
          </w:p>
          <w:p w14:paraId="19B1A000" w14:textId="77777777"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xml:space="preserve"> су у обавези да уз понуду доставе списак пумпних станица, који садржи адресе на којима се станице налазе.</w:t>
            </w:r>
          </w:p>
          <w:p w14:paraId="4E53D38D" w14:textId="77777777" w:rsidR="009C35B6" w:rsidRPr="009C35B6" w:rsidRDefault="009C35B6" w:rsidP="009C35B6">
            <w:pPr>
              <w:tabs>
                <w:tab w:val="left" w:pos="567"/>
              </w:tabs>
              <w:spacing w:line="276" w:lineRule="auto"/>
              <w:jc w:val="both"/>
              <w:rPr>
                <w:rFonts w:ascii="Arial" w:eastAsia="Calibri" w:hAnsi="Arial" w:cs="Arial"/>
                <w:lang w:val="sr-Cyrl-RS"/>
              </w:rPr>
            </w:pPr>
          </w:p>
        </w:tc>
      </w:tr>
      <w:bookmarkEnd w:id="10"/>
    </w:tbl>
    <w:p w14:paraId="5113138E"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63E1FD2F"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6FBAEE21"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714E6411"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6761D895" w14:textId="2B8F49D4"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33101818" w14:textId="77777777"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p w14:paraId="53223044" w14:textId="312B54C0" w:rsidR="009C35B6" w:rsidRPr="00696018" w:rsidRDefault="009C35B6" w:rsidP="00D9691F">
      <w:pPr>
        <w:pStyle w:val="Heading2"/>
      </w:pPr>
      <w:bookmarkStart w:id="11" w:name="_Toc184988060"/>
      <w:r w:rsidRPr="00696018">
        <w:lastRenderedPageBreak/>
        <w:t>3.5. УСЛУГЕ ГЕОДЕТСКИХ СНИМАЊА</w:t>
      </w:r>
      <w:bookmarkEnd w:id="11"/>
    </w:p>
    <w:p w14:paraId="13D4CD4C" w14:textId="77777777" w:rsidR="00696018" w:rsidRPr="009C35B6" w:rsidRDefault="00696018" w:rsidP="00696018">
      <w:pPr>
        <w:pStyle w:val="Heading2"/>
        <w:rPr>
          <w:rFonts w:eastAsia="Calibri"/>
        </w:rPr>
      </w:pPr>
    </w:p>
    <w:p w14:paraId="61A27359" w14:textId="77777777" w:rsidR="009C35B6" w:rsidRPr="009C35B6" w:rsidRDefault="009C35B6" w:rsidP="00341D3C">
      <w:pPr>
        <w:numPr>
          <w:ilvl w:val="0"/>
          <w:numId w:val="2"/>
        </w:numPr>
        <w:tabs>
          <w:tab w:val="left" w:pos="567"/>
        </w:tabs>
        <w:spacing w:after="160" w:line="276" w:lineRule="auto"/>
        <w:contextualSpacing/>
        <w:rPr>
          <w:rFonts w:ascii="Arial" w:eastAsia="Calibri" w:hAnsi="Arial" w:cs="Arial"/>
          <w:i/>
          <w:iCs/>
          <w:kern w:val="2"/>
          <w:u w:val="single"/>
          <w:lang w:val="sr-Cyrl-RS"/>
          <w14:ligatures w14:val="standardContextual"/>
        </w:rPr>
      </w:pPr>
      <w:r w:rsidRPr="009C35B6">
        <w:rPr>
          <w:rFonts w:ascii="Arial" w:eastAsia="Calibri" w:hAnsi="Arial" w:cs="Arial"/>
          <w:b/>
          <w:bCs/>
          <w:kern w:val="2"/>
          <w:lang w:val="sr-Cyrl-RS"/>
          <w14:ligatures w14:val="standardContextual"/>
        </w:rPr>
        <w:t xml:space="preserve"> </w:t>
      </w:r>
      <w:r w:rsidRPr="009C35B6">
        <w:rPr>
          <w:rFonts w:ascii="Arial" w:eastAsia="Calibri" w:hAnsi="Arial" w:cs="Arial"/>
          <w:i/>
          <w:iCs/>
          <w:kern w:val="2"/>
          <w:u w:val="single"/>
          <w:lang w:val="sr-Cyrl-RS"/>
          <w14:ligatures w14:val="standardContextual"/>
        </w:rPr>
        <w:t>Уопштено о предмету набавке:</w:t>
      </w:r>
    </w:p>
    <w:p w14:paraId="30300496" w14:textId="77777777" w:rsidR="009C35B6" w:rsidRPr="009C35B6" w:rsidRDefault="009C35B6" w:rsidP="009C35B6">
      <w:pPr>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RS"/>
          <w14:ligatures w14:val="standardContextual"/>
        </w:rPr>
        <w:tab/>
        <w:t xml:space="preserve">Наручилац спроводи поступак у циљу набавке </w:t>
      </w:r>
      <w:r w:rsidRPr="009C35B6">
        <w:rPr>
          <w:rFonts w:ascii="Arial" w:eastAsia="Calibri" w:hAnsi="Arial" w:cs="Arial"/>
          <w:kern w:val="2"/>
          <w:lang w:val="sr-Cyrl-CS"/>
          <w14:ligatures w14:val="standardContextual"/>
        </w:rPr>
        <w:t>геодетске услуге потребне за израду урбанистичко планске документације, пројектовање и извођење објеката и спровођење промена у катастарском операту.</w:t>
      </w:r>
    </w:p>
    <w:p w14:paraId="3D2CAD82" w14:textId="77777777" w:rsidR="009C35B6" w:rsidRPr="009C35B6" w:rsidRDefault="009C35B6" w:rsidP="009C35B6">
      <w:pPr>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ab/>
        <w:t>Услуга обухвата следеће:</w:t>
      </w:r>
    </w:p>
    <w:p w14:paraId="760924D9" w14:textId="77777777" w:rsidR="009C35B6" w:rsidRPr="009C35B6" w:rsidRDefault="009C35B6" w:rsidP="00341D3C">
      <w:pPr>
        <w:numPr>
          <w:ilvl w:val="0"/>
          <w:numId w:val="5"/>
        </w:numPr>
        <w:spacing w:after="160" w:line="276" w:lineRule="auto"/>
        <w:contextualSpacing/>
        <w:jc w:val="both"/>
        <w:rPr>
          <w:rFonts w:ascii="Arial" w:eastAsia="Calibri" w:hAnsi="Arial" w:cs="Arial"/>
          <w:i/>
          <w:iCs/>
          <w:kern w:val="2"/>
          <w:lang w:val="sr-Cyrl-CS"/>
          <w14:ligatures w14:val="standardContextual"/>
        </w:rPr>
      </w:pPr>
      <w:r w:rsidRPr="009C35B6">
        <w:rPr>
          <w:rFonts w:ascii="Arial" w:eastAsia="Calibri" w:hAnsi="Arial" w:cs="Arial"/>
          <w:i/>
          <w:iCs/>
          <w:kern w:val="2"/>
          <w:lang w:val="sr-Cyrl-CS"/>
          <w14:ligatures w14:val="standardContextual"/>
        </w:rPr>
        <w:t>Катастарско-топографски план са овером овлашћене организације:</w:t>
      </w:r>
    </w:p>
    <w:p w14:paraId="57D783C1" w14:textId="77777777" w:rsidR="009C35B6" w:rsidRPr="009C35B6" w:rsidRDefault="009C35B6" w:rsidP="00341D3C">
      <w:pPr>
        <w:numPr>
          <w:ilvl w:val="0"/>
          <w:numId w:val="7"/>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 xml:space="preserve">Израда катастарско-топографског плана. </w:t>
      </w:r>
    </w:p>
    <w:p w14:paraId="01E664C0" w14:textId="77777777" w:rsidR="009C35B6" w:rsidRPr="009C35B6" w:rsidRDefault="009C35B6" w:rsidP="00341D3C">
      <w:pPr>
        <w:numPr>
          <w:ilvl w:val="0"/>
          <w:numId w:val="7"/>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Израда топографских и ситуационих планова без података РГЗ-а о парцелама.</w:t>
      </w:r>
    </w:p>
    <w:p w14:paraId="7EB3C0DC" w14:textId="77777777" w:rsidR="009C35B6" w:rsidRPr="009C35B6" w:rsidRDefault="009C35B6" w:rsidP="009C35B6">
      <w:pPr>
        <w:spacing w:after="160" w:line="276" w:lineRule="auto"/>
        <w:ind w:left="1440"/>
        <w:contextualSpacing/>
        <w:jc w:val="both"/>
        <w:rPr>
          <w:rFonts w:ascii="Arial" w:eastAsia="Calibri" w:hAnsi="Arial" w:cs="Arial"/>
          <w:kern w:val="2"/>
          <w:lang w:val="sr-Cyrl-CS"/>
          <w14:ligatures w14:val="standardContextual"/>
        </w:rPr>
      </w:pPr>
    </w:p>
    <w:p w14:paraId="50FAB115" w14:textId="77777777" w:rsidR="009C35B6" w:rsidRPr="009C35B6" w:rsidRDefault="009C35B6" w:rsidP="00341D3C">
      <w:pPr>
        <w:numPr>
          <w:ilvl w:val="0"/>
          <w:numId w:val="5"/>
        </w:numPr>
        <w:spacing w:after="160" w:line="276" w:lineRule="auto"/>
        <w:contextualSpacing/>
        <w:jc w:val="both"/>
        <w:rPr>
          <w:rFonts w:ascii="Arial" w:eastAsia="Calibri" w:hAnsi="Arial" w:cs="Arial"/>
          <w:i/>
          <w:iCs/>
          <w:kern w:val="2"/>
          <w:lang w:val="sr-Cyrl-CS"/>
          <w14:ligatures w14:val="standardContextual"/>
        </w:rPr>
      </w:pPr>
      <w:r w:rsidRPr="009C35B6">
        <w:rPr>
          <w:rFonts w:ascii="Arial" w:eastAsia="Calibri" w:hAnsi="Arial" w:cs="Arial"/>
          <w:i/>
          <w:iCs/>
          <w:kern w:val="2"/>
          <w:lang w:val="sr-Cyrl-CS"/>
          <w14:ligatures w14:val="standardContextual"/>
        </w:rPr>
        <w:t xml:space="preserve">Геодетску документацију за </w:t>
      </w:r>
      <w:r w:rsidRPr="009C35B6">
        <w:rPr>
          <w:rFonts w:ascii="Arial" w:eastAsia="Calibri" w:hAnsi="Arial" w:cs="Arial"/>
          <w:i/>
          <w:iCs/>
          <w:kern w:val="2"/>
          <w:lang w:val="sr-Latn-CS"/>
          <w14:ligatures w14:val="standardContextual"/>
        </w:rPr>
        <w:t xml:space="preserve"> послов</w:t>
      </w:r>
      <w:r w:rsidRPr="009C35B6">
        <w:rPr>
          <w:rFonts w:ascii="Arial" w:eastAsia="Calibri" w:hAnsi="Arial" w:cs="Arial"/>
          <w:i/>
          <w:iCs/>
          <w:kern w:val="2"/>
          <w:lang w:val="sr-Cyrl-CS"/>
          <w14:ligatures w14:val="standardContextual"/>
        </w:rPr>
        <w:t xml:space="preserve">е </w:t>
      </w:r>
      <w:r w:rsidRPr="009C35B6">
        <w:rPr>
          <w:rFonts w:ascii="Arial" w:eastAsia="Calibri" w:hAnsi="Arial" w:cs="Arial"/>
          <w:i/>
          <w:iCs/>
          <w:kern w:val="2"/>
          <w:lang w:val="sr-Latn-CS"/>
          <w14:ligatures w14:val="standardContextual"/>
        </w:rPr>
        <w:t xml:space="preserve"> </w:t>
      </w:r>
      <w:r w:rsidRPr="009C35B6">
        <w:rPr>
          <w:rFonts w:ascii="Arial" w:eastAsia="Calibri" w:hAnsi="Arial" w:cs="Arial"/>
          <w:i/>
          <w:iCs/>
          <w:kern w:val="2"/>
          <w:lang w:val="sr-Cyrl-CS"/>
          <w14:ligatures w14:val="standardContextual"/>
        </w:rPr>
        <w:t>озакоњења објеката:</w:t>
      </w:r>
    </w:p>
    <w:p w14:paraId="3C685875" w14:textId="77777777" w:rsidR="009C35B6" w:rsidRPr="009C35B6" w:rsidRDefault="009C35B6" w:rsidP="00341D3C">
      <w:pPr>
        <w:numPr>
          <w:ilvl w:val="0"/>
          <w:numId w:val="8"/>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Снимање изведеног стања објекта површине основе до 100 м</w:t>
      </w:r>
      <w:r w:rsidRPr="009C35B6">
        <w:rPr>
          <w:rFonts w:ascii="Arial" w:eastAsia="Calibri" w:hAnsi="Arial" w:cs="Arial"/>
          <w:kern w:val="2"/>
          <w:vertAlign w:val="superscript"/>
          <w:lang w:val="sr-Cyrl-CS"/>
          <w14:ligatures w14:val="standardContextual"/>
        </w:rPr>
        <w:t>2</w:t>
      </w:r>
      <w:r w:rsidRPr="009C35B6">
        <w:rPr>
          <w:rFonts w:ascii="Arial" w:eastAsia="Calibri" w:hAnsi="Arial" w:cs="Arial"/>
          <w:kern w:val="2"/>
          <w:lang w:val="sr-Cyrl-CS"/>
          <w14:ligatures w14:val="standardContextual"/>
        </w:rPr>
        <w:t xml:space="preserve"> бруто површине и уцртавање у катастарски план. </w:t>
      </w:r>
    </w:p>
    <w:p w14:paraId="0A165494" w14:textId="77777777" w:rsidR="009C35B6" w:rsidRPr="009C35B6" w:rsidRDefault="009C35B6" w:rsidP="00341D3C">
      <w:pPr>
        <w:numPr>
          <w:ilvl w:val="0"/>
          <w:numId w:val="8"/>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Снимање изведеног стања објекта површине основе до 300 м</w:t>
      </w:r>
      <w:r w:rsidRPr="009C35B6">
        <w:rPr>
          <w:rFonts w:ascii="Arial" w:eastAsia="Calibri" w:hAnsi="Arial" w:cs="Arial"/>
          <w:kern w:val="2"/>
          <w:vertAlign w:val="superscript"/>
          <w:lang w:val="sr-Cyrl-CS"/>
          <w14:ligatures w14:val="standardContextual"/>
        </w:rPr>
        <w:t>2</w:t>
      </w:r>
      <w:r w:rsidRPr="009C35B6">
        <w:rPr>
          <w:rFonts w:ascii="Arial" w:eastAsia="Calibri" w:hAnsi="Arial" w:cs="Arial"/>
          <w:kern w:val="2"/>
          <w:lang w:val="sr-Cyrl-CS"/>
          <w14:ligatures w14:val="standardContextual"/>
        </w:rPr>
        <w:t xml:space="preserve"> бруто површине и уцртавање у катастарски план. </w:t>
      </w:r>
    </w:p>
    <w:p w14:paraId="15B75D9A" w14:textId="77777777" w:rsidR="009C35B6" w:rsidRPr="009C35B6" w:rsidRDefault="009C35B6" w:rsidP="00341D3C">
      <w:pPr>
        <w:numPr>
          <w:ilvl w:val="0"/>
          <w:numId w:val="8"/>
        </w:numPr>
        <w:spacing w:after="160" w:line="276" w:lineRule="auto"/>
        <w:contextualSpacing/>
        <w:jc w:val="both"/>
        <w:rPr>
          <w:rFonts w:ascii="Arial" w:eastAsia="Calibri" w:hAnsi="Arial" w:cs="Arial"/>
          <w:kern w:val="2"/>
          <w:lang w:val="sr-Cyrl-CS"/>
          <w14:ligatures w14:val="standardContextual"/>
        </w:rPr>
      </w:pPr>
      <w:r w:rsidRPr="009C35B6">
        <w:rPr>
          <w:rFonts w:ascii="Arial" w:eastAsia="Calibri" w:hAnsi="Arial" w:cs="Arial"/>
          <w:kern w:val="2"/>
          <w:lang w:val="sr-Cyrl-CS"/>
          <w14:ligatures w14:val="standardContextual"/>
        </w:rPr>
        <w:t>Снимање изведеног стања објекта површине основе преко 300м</w:t>
      </w:r>
      <w:r w:rsidRPr="009C35B6">
        <w:rPr>
          <w:rFonts w:ascii="Arial" w:eastAsia="Calibri" w:hAnsi="Arial" w:cs="Arial"/>
          <w:kern w:val="2"/>
          <w:vertAlign w:val="superscript"/>
          <w:lang w:val="sr-Cyrl-CS"/>
          <w14:ligatures w14:val="standardContextual"/>
        </w:rPr>
        <w:t xml:space="preserve">2 </w:t>
      </w:r>
      <w:r w:rsidRPr="009C35B6">
        <w:rPr>
          <w:rFonts w:ascii="Arial" w:eastAsia="Calibri" w:hAnsi="Arial" w:cs="Arial"/>
          <w:kern w:val="2"/>
          <w:lang w:val="sr-Cyrl-CS"/>
          <w14:ligatures w14:val="standardContextual"/>
        </w:rPr>
        <w:t xml:space="preserve">бруто површине основе и уцртавање у катастарски план. </w:t>
      </w:r>
    </w:p>
    <w:p w14:paraId="368E9A63" w14:textId="77777777" w:rsidR="009C35B6" w:rsidRPr="009C35B6" w:rsidRDefault="009C35B6" w:rsidP="009C35B6">
      <w:pPr>
        <w:spacing w:after="160" w:line="276" w:lineRule="auto"/>
        <w:ind w:left="1440"/>
        <w:contextualSpacing/>
        <w:jc w:val="both"/>
        <w:rPr>
          <w:rFonts w:ascii="Arial" w:eastAsia="Calibri" w:hAnsi="Arial" w:cs="Arial"/>
          <w:kern w:val="2"/>
          <w:lang w:val="sr-Cyrl-CS"/>
          <w14:ligatures w14:val="standardContextual"/>
        </w:rPr>
      </w:pPr>
    </w:p>
    <w:p w14:paraId="17C59FB5" w14:textId="77777777" w:rsidR="009C35B6" w:rsidRPr="009C35B6" w:rsidRDefault="009C35B6" w:rsidP="00341D3C">
      <w:pPr>
        <w:numPr>
          <w:ilvl w:val="0"/>
          <w:numId w:val="5"/>
        </w:numPr>
        <w:spacing w:after="160" w:line="276" w:lineRule="auto"/>
        <w:contextualSpacing/>
        <w:jc w:val="both"/>
        <w:rPr>
          <w:rFonts w:ascii="Arial" w:eastAsia="Calibri" w:hAnsi="Arial" w:cs="Arial"/>
          <w:i/>
          <w:iCs/>
          <w:kern w:val="2"/>
          <w:lang w:val="sr-Cyrl-CS"/>
          <w14:ligatures w14:val="standardContextual"/>
        </w:rPr>
      </w:pPr>
      <w:r w:rsidRPr="009C35B6">
        <w:rPr>
          <w:rFonts w:ascii="Arial" w:eastAsia="Calibri" w:hAnsi="Arial" w:cs="Arial"/>
          <w:i/>
          <w:iCs/>
          <w:kern w:val="2"/>
          <w:lang w:val="sr-Cyrl-CS"/>
          <w14:ligatures w14:val="standardContextual"/>
        </w:rPr>
        <w:t xml:space="preserve">Геодетску документацију за потребе </w:t>
      </w:r>
      <w:r w:rsidRPr="009C35B6">
        <w:rPr>
          <w:rFonts w:ascii="Arial" w:eastAsia="Calibri" w:hAnsi="Arial" w:cs="Arial"/>
          <w:i/>
          <w:iCs/>
          <w:kern w:val="2"/>
          <w:lang w:val="ru-RU"/>
          <w14:ligatures w14:val="standardContextual"/>
        </w:rPr>
        <w:t>формирања грађевинске парцеле:</w:t>
      </w:r>
    </w:p>
    <w:p w14:paraId="138CB122" w14:textId="77777777" w:rsidR="009C35B6" w:rsidRPr="009C35B6" w:rsidRDefault="009C35B6" w:rsidP="00341D3C">
      <w:pPr>
        <w:numPr>
          <w:ilvl w:val="0"/>
          <w:numId w:val="6"/>
        </w:numPr>
        <w:spacing w:after="160" w:line="276" w:lineRule="auto"/>
        <w:contextualSpacing/>
        <w:rPr>
          <w:rFonts w:ascii="Arial" w:eastAsia="Calibri" w:hAnsi="Arial" w:cs="Arial"/>
          <w:b/>
          <w:bCs/>
          <w:kern w:val="2"/>
          <w:lang w:val="sr-Cyrl-CS"/>
          <w14:ligatures w14:val="standardContextual"/>
        </w:rPr>
      </w:pPr>
      <w:r w:rsidRPr="009C35B6">
        <w:rPr>
          <w:rFonts w:ascii="Arial" w:eastAsia="Calibri" w:hAnsi="Arial" w:cs="Arial"/>
          <w:kern w:val="2"/>
          <w:lang w:val="sr-Cyrl-CS"/>
          <w14:ligatures w14:val="standardContextual"/>
        </w:rPr>
        <w:t>Геодетско обележавање парцела и израда геодетског елабората за потребе формирања грађевинске парцеле.</w:t>
      </w:r>
    </w:p>
    <w:p w14:paraId="177418AE" w14:textId="77777777" w:rsidR="009C35B6" w:rsidRPr="009C35B6" w:rsidRDefault="009C35B6" w:rsidP="00341D3C">
      <w:pPr>
        <w:numPr>
          <w:ilvl w:val="0"/>
          <w:numId w:val="6"/>
        </w:numPr>
        <w:spacing w:after="160" w:line="276" w:lineRule="auto"/>
        <w:contextualSpacing/>
        <w:jc w:val="both"/>
        <w:rPr>
          <w:rFonts w:ascii="Arial" w:eastAsia="Calibri" w:hAnsi="Arial" w:cs="Arial"/>
          <w:b/>
          <w:bCs/>
          <w:kern w:val="2"/>
          <w:lang w:val="sr-Cyrl-CS"/>
          <w14:ligatures w14:val="standardContextual"/>
        </w:rPr>
      </w:pPr>
      <w:r w:rsidRPr="009C35B6">
        <w:rPr>
          <w:rFonts w:ascii="Arial" w:eastAsia="Calibri" w:hAnsi="Arial" w:cs="Arial"/>
          <w:kern w:val="2"/>
          <w:lang w:val="sr-Cyrl-CS"/>
          <w14:ligatures w14:val="standardContextual"/>
        </w:rPr>
        <w:t xml:space="preserve">Геодетско обележавање парцела и израда пројекта парцелације/препарцелације за потребе формирања грађевинске парцеле. </w:t>
      </w:r>
    </w:p>
    <w:p w14:paraId="5BE38EF2" w14:textId="77777777" w:rsidR="009C35B6" w:rsidRPr="009C35B6" w:rsidRDefault="009C35B6" w:rsidP="009C35B6">
      <w:pPr>
        <w:spacing w:line="276" w:lineRule="auto"/>
        <w:rPr>
          <w:rFonts w:ascii="Arial" w:eastAsia="Calibri" w:hAnsi="Arial" w:cs="Arial"/>
          <w:b/>
          <w:bCs/>
          <w:kern w:val="2"/>
          <w:lang w:val="sr-Cyrl-CS"/>
          <w14:ligatures w14:val="standardContextual"/>
        </w:rPr>
      </w:pPr>
    </w:p>
    <w:p w14:paraId="43EFBB8C"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Критеријуми за избор привредног субјекта</w:t>
      </w:r>
    </w:p>
    <w:p w14:paraId="5EFAB755"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 оквиру критеријума за избор привредног субјекта – образовне и стручне квалификације (члан 117. ЗЈН), наручилац је предвидео да понуђач има </w:t>
      </w:r>
      <w:r w:rsidRPr="009C35B6">
        <w:rPr>
          <w:rFonts w:ascii="Arial" w:eastAsia="Calibri" w:hAnsi="Arial" w:cs="Arial"/>
          <w:kern w:val="2"/>
          <w:lang w:val="ru-RU"/>
          <w14:ligatures w14:val="standardContextual"/>
        </w:rPr>
        <w:t>радно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анга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ованог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било</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основу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складу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одредбама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закона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којим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уре</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права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обавезе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одговорности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радног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најма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p>
    <w:p w14:paraId="53583109" w14:textId="77777777" w:rsidR="009C35B6" w:rsidRPr="009C35B6" w:rsidRDefault="009C35B6" w:rsidP="00341D3C">
      <w:pPr>
        <w:numPr>
          <w:ilvl w:val="0"/>
          <w:numId w:val="6"/>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ru-RU"/>
          <w14:ligatures w14:val="standardContextual"/>
        </w:rPr>
        <w:t>Једно</w:t>
      </w:r>
      <w:r w:rsidRPr="009C35B6">
        <w:rPr>
          <w:rFonts w:ascii="Arial" w:eastAsia="Calibri" w:hAnsi="Arial" w:cs="Arial"/>
          <w:kern w:val="2"/>
          <w:lang w:val="sr-Cyrl-RS"/>
          <w14:ligatures w14:val="standardContextual"/>
        </w:rPr>
        <w:t xml:space="preserve"> лице архитектонске струке са геодетском лиценцом првог реда</w:t>
      </w:r>
    </w:p>
    <w:p w14:paraId="795E1B74" w14:textId="77777777" w:rsidR="009C35B6" w:rsidRPr="009C35B6" w:rsidRDefault="009C35B6" w:rsidP="00341D3C">
      <w:pPr>
        <w:numPr>
          <w:ilvl w:val="0"/>
          <w:numId w:val="6"/>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Једно лице са лиценцом инжењерске коморе </w:t>
      </w:r>
      <w:r w:rsidRPr="009C35B6">
        <w:rPr>
          <w:rFonts w:ascii="Arial" w:eastAsia="Calibri" w:hAnsi="Arial" w:cs="Arial"/>
          <w:kern w:val="2"/>
          <w:lang w:val="ru-RU"/>
          <w14:ligatures w14:val="standardContextual"/>
        </w:rPr>
        <w:t>ГеП</w:t>
      </w:r>
      <w:r w:rsidRPr="009C35B6">
        <w:rPr>
          <w:rFonts w:ascii="Arial" w:eastAsia="Calibri" w:hAnsi="Arial" w:cs="Arial"/>
          <w:kern w:val="2"/>
          <w:lang w:val="sr-Cyrl-RS"/>
          <w14:ligatures w14:val="standardContextual"/>
        </w:rPr>
        <w:t xml:space="preserve"> 08-01 (стара ознака 372) - </w:t>
      </w:r>
      <w:r w:rsidRPr="009C35B6">
        <w:rPr>
          <w:rFonts w:ascii="Arial" w:eastAsia="Calibri" w:hAnsi="Arial" w:cs="Arial"/>
          <w:kern w:val="2"/>
          <w:lang w:val="ru-RU"/>
          <w14:ligatures w14:val="standardContextual"/>
        </w:rPr>
        <w:t>Одговорни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пројектант</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геодетских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пројеката</w:t>
      </w:r>
    </w:p>
    <w:p w14:paraId="2A5034A4" w14:textId="77777777" w:rsidR="009C35B6" w:rsidRPr="009C35B6" w:rsidRDefault="009C35B6" w:rsidP="00341D3C">
      <w:pPr>
        <w:numPr>
          <w:ilvl w:val="0"/>
          <w:numId w:val="6"/>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Једно лице са лиценцом инжењерске коморе </w:t>
      </w:r>
      <w:r w:rsidRPr="009C35B6">
        <w:rPr>
          <w:rFonts w:ascii="Arial" w:eastAsia="Calibri" w:hAnsi="Arial" w:cs="Arial"/>
          <w:kern w:val="2"/>
          <w:lang w:val="ru-RU"/>
          <w14:ligatures w14:val="standardContextual"/>
        </w:rPr>
        <w:t>Ге</w:t>
      </w:r>
      <w:r w:rsidRPr="009C35B6">
        <w:rPr>
          <w:rFonts w:ascii="Arial" w:eastAsia="Calibri" w:hAnsi="Arial" w:cs="Arial"/>
          <w:kern w:val="2"/>
          <w:lang w:val="sr-Cyrl-RS"/>
          <w14:ligatures w14:val="standardContextual"/>
        </w:rPr>
        <w:t xml:space="preserve">И 08-01.1  (стара ознака 471) - </w:t>
      </w:r>
      <w:r w:rsidRPr="009C35B6">
        <w:rPr>
          <w:rFonts w:ascii="Arial" w:eastAsia="Calibri" w:hAnsi="Arial" w:cs="Arial"/>
          <w:kern w:val="2"/>
          <w:lang w:val="ru-RU"/>
          <w14:ligatures w14:val="standardContextual"/>
        </w:rPr>
        <w:t>Одговорни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изво</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а</w:t>
      </w:r>
      <w:r w:rsidRPr="009C35B6">
        <w:rPr>
          <w:rFonts w:ascii="Arial" w:eastAsia="Calibri" w:hAnsi="Arial" w:cs="Arial"/>
          <w:kern w:val="2"/>
          <w:lang w:val="sr-Cyrl-RS"/>
          <w14:ligatures w14:val="standardContextual"/>
        </w:rPr>
        <w:t xml:space="preserve">ч </w:t>
      </w:r>
      <w:r w:rsidRPr="009C35B6">
        <w:rPr>
          <w:rFonts w:ascii="Arial" w:eastAsia="Calibri" w:hAnsi="Arial" w:cs="Arial"/>
          <w:kern w:val="2"/>
          <w:lang w:val="ru-RU"/>
          <w14:ligatures w14:val="standardContextual"/>
        </w:rPr>
        <w:t>геодетских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радова</w:t>
      </w:r>
    </w:p>
    <w:p w14:paraId="62004906" w14:textId="77777777" w:rsidR="009C35B6" w:rsidRPr="009C35B6" w:rsidRDefault="009C35B6" w:rsidP="00341D3C">
      <w:pPr>
        <w:numPr>
          <w:ilvl w:val="0"/>
          <w:numId w:val="6"/>
        </w:numPr>
        <w:tabs>
          <w:tab w:val="left" w:pos="567"/>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lastRenderedPageBreak/>
        <w:t xml:space="preserve">Једно лице </w:t>
      </w:r>
      <w:r w:rsidRPr="009C35B6">
        <w:rPr>
          <w:rFonts w:ascii="Arial" w:eastAsia="Calibri" w:hAnsi="Arial" w:cs="Arial"/>
          <w:kern w:val="2"/>
          <w:lang w:val="ru-RU"/>
          <w14:ligatures w14:val="standardContextual"/>
        </w:rPr>
        <w:t>лице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архитектонске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струке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са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ћ</w:t>
      </w:r>
      <w:r w:rsidRPr="009C35B6">
        <w:rPr>
          <w:rFonts w:ascii="Arial" w:eastAsia="Calibri" w:hAnsi="Arial" w:cs="Arial"/>
          <w:kern w:val="2"/>
          <w:lang w:val="ru-RU"/>
          <w14:ligatures w14:val="standardContextual"/>
        </w:rPr>
        <w:t>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лиценцом</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УП</w:t>
      </w:r>
      <w:r w:rsidRPr="009C35B6">
        <w:rPr>
          <w:rFonts w:ascii="Arial" w:eastAsia="Calibri" w:hAnsi="Arial" w:cs="Arial"/>
          <w:kern w:val="2"/>
          <w:lang w:val="sr-Cyrl-RS"/>
          <w14:ligatures w14:val="standardContextual"/>
        </w:rPr>
        <w:t xml:space="preserve"> 02 (стара ознака 200) - Л</w:t>
      </w:r>
      <w:r w:rsidRPr="009C35B6">
        <w:rPr>
          <w:rFonts w:ascii="Arial" w:eastAsia="Calibri" w:hAnsi="Arial" w:cs="Arial"/>
          <w:kern w:val="2"/>
          <w:lang w:val="ru-RU"/>
          <w14:ligatures w14:val="standardContextual"/>
        </w:rPr>
        <w:t>иценцирани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архитекта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урбаниста</w:t>
      </w:r>
    </w:p>
    <w:p w14:paraId="3FFE5607"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B372522"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14:paraId="2D9853FB"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tbl>
      <w:tblPr>
        <w:tblStyle w:val="GridTable4-Accent11"/>
        <w:tblW w:w="0" w:type="auto"/>
        <w:tblLook w:val="04A0" w:firstRow="1" w:lastRow="0" w:firstColumn="1" w:lastColumn="0" w:noHBand="0" w:noVBand="1"/>
      </w:tblPr>
      <w:tblGrid>
        <w:gridCol w:w="5098"/>
        <w:gridCol w:w="3918"/>
      </w:tblGrid>
      <w:tr w:rsidR="009C35B6" w:rsidRPr="009C35B6" w14:paraId="3784DA65"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47DA9ABA"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14:paraId="286EA38B" w14:textId="77777777"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60 пондера</w:t>
            </w:r>
          </w:p>
        </w:tc>
      </w:tr>
      <w:tr w:rsidR="009C35B6" w:rsidRPr="009C35B6" w14:paraId="6B4D28C0"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EBB38CB" w14:textId="77777777" w:rsidR="009C35B6" w:rsidRPr="009C35B6" w:rsidRDefault="009C35B6" w:rsidP="009C35B6">
            <w:pPr>
              <w:tabs>
                <w:tab w:val="left" w:pos="567"/>
              </w:tabs>
              <w:spacing w:line="276" w:lineRule="auto"/>
              <w:jc w:val="center"/>
              <w:rPr>
                <w:rFonts w:ascii="Arial" w:eastAsia="Calibri" w:hAnsi="Arial" w:cs="Arial"/>
                <w:lang w:val="sr-Cyrl-RS"/>
              </w:rPr>
            </w:pPr>
            <w:r w:rsidRPr="009C35B6">
              <w:rPr>
                <w:rFonts w:ascii="Arial" w:eastAsia="Calibri" w:hAnsi="Arial" w:cs="Arial"/>
                <w:lang w:val="sr-Cyrl-RS"/>
              </w:rPr>
              <w:t>Квалификације кључног особља (КВ)</w:t>
            </w:r>
          </w:p>
        </w:tc>
        <w:tc>
          <w:tcPr>
            <w:tcW w:w="3918" w:type="dxa"/>
            <w:vAlign w:val="center"/>
          </w:tcPr>
          <w:p w14:paraId="6F7EB75C"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val="sr-Cyrl-RS"/>
              </w:rPr>
            </w:pPr>
            <w:r w:rsidRPr="009C35B6">
              <w:rPr>
                <w:rFonts w:ascii="Arial" w:eastAsia="Calibri" w:hAnsi="Arial" w:cs="Arial"/>
                <w:lang w:val="sr-Cyrl-RS"/>
              </w:rPr>
              <w:t>Макс. 40 пондера</w:t>
            </w:r>
          </w:p>
        </w:tc>
      </w:tr>
    </w:tbl>
    <w:p w14:paraId="0A212FFC"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363A8F1E"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Цена (Ц)</w:t>
      </w:r>
    </w:p>
    <w:p w14:paraId="7F91510E"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14:paraId="04DF7A27"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0C5DEB95"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60*</w:t>
      </w:r>
    </w:p>
    <w:p w14:paraId="0A237C90"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14:paraId="0E6E5417"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14:paraId="399CBD8A"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Квалификације кључног особља (КВ)</w:t>
      </w:r>
    </w:p>
    <w:p w14:paraId="4D20200A"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Код</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овог</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критеријума</w:t>
      </w:r>
      <w:r w:rsidRPr="009C35B6">
        <w:rPr>
          <w:rFonts w:ascii="Arial" w:eastAsia="Calibri" w:hAnsi="Arial" w:cs="Arial"/>
          <w:kern w:val="2"/>
          <w:lang w:val="sr-Cyrl-RS"/>
          <w14:ligatures w14:val="standardContextual"/>
        </w:rPr>
        <w:t xml:space="preserve"> пондерисаће </w:t>
      </w:r>
      <w:r w:rsidRPr="009C35B6">
        <w:rPr>
          <w:rFonts w:ascii="Arial" w:eastAsia="Calibri" w:hAnsi="Arial" w:cs="Arial"/>
          <w:kern w:val="2"/>
          <w:lang w:val="ru-RU"/>
          <w14:ligatures w14:val="standardContextual"/>
        </w:rPr>
        <w:t>се</w:t>
      </w:r>
      <w:r w:rsidRPr="009C35B6">
        <w:rPr>
          <w:rFonts w:ascii="Arial" w:eastAsia="Calibri" w:hAnsi="Arial" w:cs="Arial"/>
          <w:kern w:val="2"/>
          <w:lang w:val="sr-Cyrl-RS"/>
          <w14:ligatures w14:val="standardContextual"/>
        </w:rPr>
        <w:t xml:space="preserve"> године искуства радно ангажованих лица са траженим квалификацијама (лиценцама), а која ће бити ангажована на реализацији уговора. </w:t>
      </w:r>
    </w:p>
    <w:p w14:paraId="6479EF5B"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Оцењивање ће се вршити по следећој формули:</w:t>
      </w:r>
    </w:p>
    <w:tbl>
      <w:tblPr>
        <w:tblStyle w:val="GridTable6Colorful-Accent11"/>
        <w:tblW w:w="9067" w:type="dxa"/>
        <w:tblLook w:val="04A0" w:firstRow="1" w:lastRow="0" w:firstColumn="1" w:lastColumn="0" w:noHBand="0" w:noVBand="1"/>
      </w:tblPr>
      <w:tblGrid>
        <w:gridCol w:w="2832"/>
        <w:gridCol w:w="1558"/>
        <w:gridCol w:w="1559"/>
        <w:gridCol w:w="1559"/>
        <w:gridCol w:w="1559"/>
      </w:tblGrid>
      <w:tr w:rsidR="009C35B6" w:rsidRPr="009C35B6" w14:paraId="24F25798" w14:textId="77777777" w:rsidTr="0049567C">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832" w:type="dxa"/>
            <w:vMerge w:val="restart"/>
            <w:vAlign w:val="center"/>
            <w:hideMark/>
          </w:tcPr>
          <w:p w14:paraId="34E05A17" w14:textId="77777777" w:rsidR="009C35B6" w:rsidRPr="009C35B6" w:rsidRDefault="009C35B6" w:rsidP="009C35B6">
            <w:pPr>
              <w:spacing w:line="276" w:lineRule="auto"/>
              <w:contextualSpacing/>
              <w:jc w:val="center"/>
              <w:rPr>
                <w:rFonts w:ascii="Arial" w:eastAsia="Calibri" w:hAnsi="Arial" w:cs="Arial"/>
                <w:color w:val="000000"/>
                <w:lang w:val="sr-Cyrl-RS"/>
              </w:rPr>
            </w:pPr>
            <w:r w:rsidRPr="009C35B6">
              <w:rPr>
                <w:rFonts w:ascii="Arial" w:eastAsia="Calibri" w:hAnsi="Arial" w:cs="Arial"/>
                <w:color w:val="000000"/>
                <w:lang w:val="sr-Cyrl-RS"/>
              </w:rPr>
              <w:t>Квалификације кључног особља</w:t>
            </w:r>
          </w:p>
        </w:tc>
        <w:tc>
          <w:tcPr>
            <w:tcW w:w="6235" w:type="dxa"/>
            <w:gridSpan w:val="4"/>
            <w:vAlign w:val="center"/>
          </w:tcPr>
          <w:p w14:paraId="1DECEAA4" w14:textId="77777777" w:rsidR="009C35B6" w:rsidRPr="009C35B6" w:rsidRDefault="009C35B6" w:rsidP="009C35B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Године радног искуства</w:t>
            </w:r>
          </w:p>
        </w:tc>
      </w:tr>
      <w:tr w:rsidR="009C35B6" w:rsidRPr="009C35B6" w14:paraId="06775330" w14:textId="77777777" w:rsidTr="009C35B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832" w:type="dxa"/>
            <w:vMerge/>
            <w:hideMark/>
          </w:tcPr>
          <w:p w14:paraId="001716AC" w14:textId="77777777" w:rsidR="009C35B6" w:rsidRPr="009C35B6" w:rsidRDefault="009C35B6" w:rsidP="009C35B6">
            <w:pPr>
              <w:spacing w:line="276" w:lineRule="auto"/>
              <w:jc w:val="center"/>
              <w:rPr>
                <w:rFonts w:ascii="Arial" w:eastAsia="Times New Roman" w:hAnsi="Arial" w:cs="Arial"/>
                <w:color w:val="000000"/>
                <w:lang w:val="sr-Cyrl-RS"/>
              </w:rPr>
            </w:pPr>
          </w:p>
        </w:tc>
        <w:tc>
          <w:tcPr>
            <w:tcW w:w="1558" w:type="dxa"/>
            <w:vAlign w:val="center"/>
          </w:tcPr>
          <w:p w14:paraId="10CD7DA8"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без искуства</w:t>
            </w:r>
          </w:p>
        </w:tc>
        <w:tc>
          <w:tcPr>
            <w:tcW w:w="1559" w:type="dxa"/>
            <w:vAlign w:val="center"/>
            <w:hideMark/>
          </w:tcPr>
          <w:p w14:paraId="365A6036"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1-5 год.</w:t>
            </w:r>
          </w:p>
        </w:tc>
        <w:tc>
          <w:tcPr>
            <w:tcW w:w="1559" w:type="dxa"/>
            <w:vAlign w:val="center"/>
            <w:hideMark/>
          </w:tcPr>
          <w:p w14:paraId="4429D85E"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6-10 год.</w:t>
            </w:r>
          </w:p>
        </w:tc>
        <w:tc>
          <w:tcPr>
            <w:tcW w:w="1559" w:type="dxa"/>
            <w:vAlign w:val="center"/>
            <w:hideMark/>
          </w:tcPr>
          <w:p w14:paraId="145E733B"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више од 10 год.</w:t>
            </w:r>
          </w:p>
        </w:tc>
      </w:tr>
      <w:tr w:rsidR="009C35B6" w:rsidRPr="009C35B6" w14:paraId="14BB8485" w14:textId="77777777" w:rsidTr="0049567C">
        <w:trPr>
          <w:trHeight w:val="871"/>
        </w:trPr>
        <w:tc>
          <w:tcPr>
            <w:cnfStyle w:val="001000000000" w:firstRow="0" w:lastRow="0" w:firstColumn="1" w:lastColumn="0" w:oddVBand="0" w:evenVBand="0" w:oddHBand="0" w:evenHBand="0" w:firstRowFirstColumn="0" w:firstRowLastColumn="0" w:lastRowFirstColumn="0" w:lastRowLastColumn="0"/>
            <w:tcW w:w="2832" w:type="dxa"/>
            <w:vMerge/>
            <w:hideMark/>
          </w:tcPr>
          <w:p w14:paraId="2ABF071F" w14:textId="77777777" w:rsidR="009C35B6" w:rsidRPr="009C35B6" w:rsidRDefault="009C35B6" w:rsidP="009C35B6">
            <w:pPr>
              <w:spacing w:line="276" w:lineRule="auto"/>
              <w:jc w:val="center"/>
              <w:rPr>
                <w:rFonts w:ascii="Arial" w:eastAsia="Times New Roman" w:hAnsi="Arial" w:cs="Arial"/>
                <w:color w:val="000000"/>
                <w:lang w:val="sr-Cyrl-RS"/>
              </w:rPr>
            </w:pPr>
          </w:p>
        </w:tc>
        <w:tc>
          <w:tcPr>
            <w:tcW w:w="1558" w:type="dxa"/>
            <w:vAlign w:val="center"/>
          </w:tcPr>
          <w:p w14:paraId="7D80E9F4"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број пондера</w:t>
            </w:r>
          </w:p>
        </w:tc>
        <w:tc>
          <w:tcPr>
            <w:tcW w:w="1559" w:type="dxa"/>
            <w:vAlign w:val="center"/>
            <w:hideMark/>
          </w:tcPr>
          <w:p w14:paraId="559C3099"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број пондера</w:t>
            </w:r>
          </w:p>
        </w:tc>
        <w:tc>
          <w:tcPr>
            <w:tcW w:w="1559" w:type="dxa"/>
            <w:vAlign w:val="center"/>
            <w:hideMark/>
          </w:tcPr>
          <w:p w14:paraId="64013A44"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број пондера</w:t>
            </w:r>
          </w:p>
        </w:tc>
        <w:tc>
          <w:tcPr>
            <w:tcW w:w="1559" w:type="dxa"/>
            <w:vAlign w:val="center"/>
            <w:hideMark/>
          </w:tcPr>
          <w:p w14:paraId="1E2536FF"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sr-Cyrl-RS"/>
              </w:rPr>
            </w:pPr>
            <w:r w:rsidRPr="009C35B6">
              <w:rPr>
                <w:rFonts w:ascii="Arial" w:eastAsia="Times New Roman" w:hAnsi="Arial" w:cs="Arial"/>
                <w:bCs/>
                <w:color w:val="000000"/>
                <w:lang w:val="sr-Cyrl-RS"/>
              </w:rPr>
              <w:t>број пондера</w:t>
            </w:r>
          </w:p>
        </w:tc>
      </w:tr>
      <w:tr w:rsidR="009C35B6" w:rsidRPr="009C35B6" w14:paraId="56A6A42A" w14:textId="77777777" w:rsidTr="009C35B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78D79869" w14:textId="77777777"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Лице геодетске струке са геодетском лиценцом првог реда – КВ1</w:t>
            </w:r>
          </w:p>
        </w:tc>
        <w:tc>
          <w:tcPr>
            <w:tcW w:w="1558" w:type="dxa"/>
            <w:vAlign w:val="center"/>
          </w:tcPr>
          <w:p w14:paraId="01FEF9E5"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0</w:t>
            </w:r>
          </w:p>
        </w:tc>
        <w:tc>
          <w:tcPr>
            <w:tcW w:w="1559" w:type="dxa"/>
            <w:vAlign w:val="center"/>
            <w:hideMark/>
          </w:tcPr>
          <w:p w14:paraId="2DC58283"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3</w:t>
            </w:r>
          </w:p>
        </w:tc>
        <w:tc>
          <w:tcPr>
            <w:tcW w:w="1559" w:type="dxa"/>
            <w:vAlign w:val="center"/>
            <w:hideMark/>
          </w:tcPr>
          <w:p w14:paraId="0D2C978A"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6</w:t>
            </w:r>
          </w:p>
        </w:tc>
        <w:tc>
          <w:tcPr>
            <w:tcW w:w="1559" w:type="dxa"/>
            <w:vAlign w:val="center"/>
            <w:hideMark/>
          </w:tcPr>
          <w:p w14:paraId="02BE393E"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10</w:t>
            </w:r>
          </w:p>
        </w:tc>
      </w:tr>
      <w:tr w:rsidR="009C35B6" w:rsidRPr="009C35B6" w14:paraId="42B32AC0" w14:textId="77777777" w:rsidTr="0049567C">
        <w:trPr>
          <w:trHeight w:val="722"/>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51F4B248" w14:textId="77777777"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КВ1</w:t>
            </w:r>
          </w:p>
        </w:tc>
        <w:tc>
          <w:tcPr>
            <w:tcW w:w="6235" w:type="dxa"/>
            <w:gridSpan w:val="4"/>
            <w:vAlign w:val="center"/>
          </w:tcPr>
          <w:p w14:paraId="33684887"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10 пондера</w:t>
            </w:r>
          </w:p>
        </w:tc>
      </w:tr>
      <w:tr w:rsidR="009C35B6" w:rsidRPr="009C35B6" w14:paraId="33E44524" w14:textId="77777777" w:rsidTr="009C35B6">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6E7BDB11" w14:textId="77777777" w:rsidR="009C35B6" w:rsidRPr="009C35B6" w:rsidRDefault="009C35B6" w:rsidP="009C35B6">
            <w:pPr>
              <w:spacing w:line="276" w:lineRule="auto"/>
              <w:jc w:val="center"/>
              <w:rPr>
                <w:rFonts w:ascii="Arial" w:eastAsia="Times New Roman" w:hAnsi="Arial" w:cs="Arial"/>
                <w:color w:val="000000"/>
                <w:lang w:val="sr-Latn-CS"/>
              </w:rPr>
            </w:pPr>
            <w:r w:rsidRPr="009C35B6">
              <w:rPr>
                <w:rFonts w:ascii="Arial" w:eastAsia="Times New Roman" w:hAnsi="Arial" w:cs="Arial"/>
                <w:color w:val="000000"/>
                <w:lang w:val="sr-Cyrl-RS"/>
              </w:rPr>
              <w:lastRenderedPageBreak/>
              <w:t xml:space="preserve">Лице са лиценцом инжењерске коморе </w:t>
            </w:r>
            <w:r w:rsidRPr="009C35B6">
              <w:rPr>
                <w:rFonts w:ascii="Arial" w:eastAsia="Calibri" w:hAnsi="Arial" w:cs="Arial"/>
                <w:color w:val="000000"/>
                <w:lang w:val="ru-RU"/>
              </w:rPr>
              <w:t>ГеП</w:t>
            </w:r>
            <w:r w:rsidRPr="009C35B6">
              <w:rPr>
                <w:rFonts w:ascii="Arial" w:eastAsia="Calibri" w:hAnsi="Arial" w:cs="Arial"/>
                <w:color w:val="000000"/>
                <w:lang w:val="sr-Cyrl-RS"/>
              </w:rPr>
              <w:t xml:space="preserve"> 08-01 (стара ознака 372) – КВ2</w:t>
            </w:r>
          </w:p>
        </w:tc>
        <w:tc>
          <w:tcPr>
            <w:tcW w:w="1558" w:type="dxa"/>
            <w:vAlign w:val="center"/>
          </w:tcPr>
          <w:p w14:paraId="20901AC8"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0</w:t>
            </w:r>
          </w:p>
        </w:tc>
        <w:tc>
          <w:tcPr>
            <w:tcW w:w="1559" w:type="dxa"/>
            <w:vAlign w:val="center"/>
            <w:hideMark/>
          </w:tcPr>
          <w:p w14:paraId="53602B05"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3</w:t>
            </w:r>
          </w:p>
        </w:tc>
        <w:tc>
          <w:tcPr>
            <w:tcW w:w="1559" w:type="dxa"/>
            <w:vAlign w:val="center"/>
            <w:hideMark/>
          </w:tcPr>
          <w:p w14:paraId="2B5F39C8"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6</w:t>
            </w:r>
          </w:p>
        </w:tc>
        <w:tc>
          <w:tcPr>
            <w:tcW w:w="1559" w:type="dxa"/>
            <w:vAlign w:val="center"/>
            <w:hideMark/>
          </w:tcPr>
          <w:p w14:paraId="7F3874C2"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10</w:t>
            </w:r>
          </w:p>
        </w:tc>
      </w:tr>
      <w:tr w:rsidR="009C35B6" w:rsidRPr="009C35B6" w14:paraId="5A4CB422" w14:textId="77777777" w:rsidTr="0049567C">
        <w:trPr>
          <w:trHeight w:val="699"/>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573D49EC" w14:textId="77777777"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КВ2</w:t>
            </w:r>
          </w:p>
        </w:tc>
        <w:tc>
          <w:tcPr>
            <w:tcW w:w="6235" w:type="dxa"/>
            <w:gridSpan w:val="4"/>
            <w:vAlign w:val="center"/>
          </w:tcPr>
          <w:p w14:paraId="6549C663"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10 пондера</w:t>
            </w:r>
          </w:p>
        </w:tc>
      </w:tr>
      <w:tr w:rsidR="009C35B6" w:rsidRPr="009C35B6" w14:paraId="0440532D"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4BA752F8" w14:textId="77777777"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 xml:space="preserve">Лице са лиценцом инжењерске коморе </w:t>
            </w:r>
            <w:r w:rsidRPr="009C35B6">
              <w:rPr>
                <w:rFonts w:ascii="Arial" w:eastAsia="Calibri" w:hAnsi="Arial" w:cs="Arial"/>
                <w:color w:val="000000"/>
                <w:lang w:val="ru-RU"/>
              </w:rPr>
              <w:t>Ге</w:t>
            </w:r>
            <w:r w:rsidRPr="009C35B6">
              <w:rPr>
                <w:rFonts w:ascii="Arial" w:eastAsia="Calibri" w:hAnsi="Arial" w:cs="Arial"/>
                <w:color w:val="000000"/>
                <w:lang w:val="sr-Cyrl-RS"/>
              </w:rPr>
              <w:t>И 08-01.1  (стара ознака 471) – КВ3</w:t>
            </w:r>
          </w:p>
        </w:tc>
        <w:tc>
          <w:tcPr>
            <w:tcW w:w="1558" w:type="dxa"/>
            <w:vAlign w:val="center"/>
          </w:tcPr>
          <w:p w14:paraId="6D26CD08"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0</w:t>
            </w:r>
          </w:p>
        </w:tc>
        <w:tc>
          <w:tcPr>
            <w:tcW w:w="1559" w:type="dxa"/>
            <w:vAlign w:val="center"/>
            <w:hideMark/>
          </w:tcPr>
          <w:p w14:paraId="04949D0D"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3</w:t>
            </w:r>
          </w:p>
        </w:tc>
        <w:tc>
          <w:tcPr>
            <w:tcW w:w="1559" w:type="dxa"/>
            <w:vAlign w:val="center"/>
            <w:hideMark/>
          </w:tcPr>
          <w:p w14:paraId="5459B9FD"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6</w:t>
            </w:r>
          </w:p>
        </w:tc>
        <w:tc>
          <w:tcPr>
            <w:tcW w:w="1559" w:type="dxa"/>
            <w:vAlign w:val="center"/>
            <w:hideMark/>
          </w:tcPr>
          <w:p w14:paraId="1140F694"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10</w:t>
            </w:r>
          </w:p>
        </w:tc>
      </w:tr>
      <w:tr w:rsidR="009C35B6" w:rsidRPr="009C35B6" w14:paraId="123C3DC0" w14:textId="77777777" w:rsidTr="0049567C">
        <w:trPr>
          <w:trHeight w:val="546"/>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32C39CCC" w14:textId="77777777"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КВ3</w:t>
            </w:r>
          </w:p>
        </w:tc>
        <w:tc>
          <w:tcPr>
            <w:tcW w:w="6235" w:type="dxa"/>
            <w:gridSpan w:val="4"/>
            <w:vAlign w:val="center"/>
          </w:tcPr>
          <w:p w14:paraId="15630179"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10 пондера</w:t>
            </w:r>
          </w:p>
        </w:tc>
      </w:tr>
      <w:tr w:rsidR="009C35B6" w:rsidRPr="009C35B6" w14:paraId="0BDFC62C" w14:textId="77777777" w:rsidTr="009C35B6">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2C19AA78" w14:textId="77777777"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 xml:space="preserve">Лице архитектонске струке, са важећом лиценцом </w:t>
            </w:r>
            <w:r w:rsidRPr="009C35B6">
              <w:rPr>
                <w:rFonts w:ascii="Arial" w:eastAsia="Calibri" w:hAnsi="Arial" w:cs="Arial"/>
                <w:color w:val="000000"/>
                <w:lang w:val="ru-RU"/>
              </w:rPr>
              <w:t>УП</w:t>
            </w:r>
            <w:r w:rsidRPr="009C35B6">
              <w:rPr>
                <w:rFonts w:ascii="Arial" w:eastAsia="Calibri" w:hAnsi="Arial" w:cs="Arial"/>
                <w:color w:val="000000"/>
                <w:lang w:val="sr-Cyrl-RS"/>
              </w:rPr>
              <w:t xml:space="preserve"> 02 </w:t>
            </w:r>
            <w:r w:rsidRPr="009C35B6">
              <w:rPr>
                <w:rFonts w:ascii="Arial" w:eastAsia="Times New Roman" w:hAnsi="Arial" w:cs="Arial"/>
                <w:color w:val="000000"/>
                <w:lang w:val="sr-Cyrl-RS"/>
              </w:rPr>
              <w:t>(стара ознака 200) – КВ4</w:t>
            </w:r>
          </w:p>
        </w:tc>
        <w:tc>
          <w:tcPr>
            <w:tcW w:w="1558" w:type="dxa"/>
            <w:vAlign w:val="center"/>
          </w:tcPr>
          <w:p w14:paraId="6FAD8E84"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0</w:t>
            </w:r>
          </w:p>
        </w:tc>
        <w:tc>
          <w:tcPr>
            <w:tcW w:w="1559" w:type="dxa"/>
            <w:vAlign w:val="center"/>
            <w:hideMark/>
          </w:tcPr>
          <w:p w14:paraId="70413E62"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3</w:t>
            </w:r>
          </w:p>
        </w:tc>
        <w:tc>
          <w:tcPr>
            <w:tcW w:w="1559" w:type="dxa"/>
            <w:vAlign w:val="center"/>
            <w:hideMark/>
          </w:tcPr>
          <w:p w14:paraId="12032D1E"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6</w:t>
            </w:r>
          </w:p>
        </w:tc>
        <w:tc>
          <w:tcPr>
            <w:tcW w:w="1559" w:type="dxa"/>
            <w:vAlign w:val="center"/>
            <w:hideMark/>
          </w:tcPr>
          <w:p w14:paraId="1EE68096"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sr-Cyrl-RS"/>
              </w:rPr>
            </w:pPr>
            <w:r w:rsidRPr="009C35B6">
              <w:rPr>
                <w:rFonts w:ascii="Arial" w:eastAsia="Times New Roman" w:hAnsi="Arial" w:cs="Arial"/>
                <w:color w:val="000000"/>
                <w:lang w:val="sr-Cyrl-RS"/>
              </w:rPr>
              <w:t>10</w:t>
            </w:r>
          </w:p>
        </w:tc>
      </w:tr>
      <w:tr w:rsidR="009C35B6" w:rsidRPr="009C35B6" w14:paraId="7E2692EF" w14:textId="77777777" w:rsidTr="0049567C">
        <w:trPr>
          <w:trHeight w:val="720"/>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22C24AFF" w14:textId="77777777"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КВ4</w:t>
            </w:r>
          </w:p>
        </w:tc>
        <w:tc>
          <w:tcPr>
            <w:tcW w:w="6235" w:type="dxa"/>
            <w:gridSpan w:val="4"/>
            <w:vAlign w:val="center"/>
          </w:tcPr>
          <w:p w14:paraId="12C3D748" w14:textId="77777777"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10 пондера</w:t>
            </w:r>
          </w:p>
        </w:tc>
      </w:tr>
      <w:tr w:rsidR="009C35B6" w:rsidRPr="009C35B6" w14:paraId="5F10B718" w14:textId="77777777" w:rsidTr="009C35B6">
        <w:trPr>
          <w:cnfStyle w:val="000000100000" w:firstRow="0" w:lastRow="0" w:firstColumn="0" w:lastColumn="0" w:oddVBand="0" w:evenVBand="0" w:oddHBand="1" w:evenHBand="0"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28DFDA5B" w14:textId="77777777" w:rsidR="009C35B6" w:rsidRPr="009C35B6" w:rsidRDefault="009C35B6" w:rsidP="009C35B6">
            <w:pPr>
              <w:spacing w:line="276" w:lineRule="auto"/>
              <w:jc w:val="center"/>
              <w:rPr>
                <w:rFonts w:ascii="Arial" w:eastAsia="Times New Roman" w:hAnsi="Arial" w:cs="Arial"/>
                <w:color w:val="000000"/>
                <w:lang w:val="sr-Cyrl-RS"/>
              </w:rPr>
            </w:pPr>
            <w:r w:rsidRPr="009C35B6">
              <w:rPr>
                <w:rFonts w:ascii="Arial" w:eastAsia="Times New Roman" w:hAnsi="Arial" w:cs="Arial"/>
                <w:color w:val="000000"/>
                <w:lang w:val="sr-Cyrl-RS"/>
              </w:rPr>
              <w:t>Максималан број пондера за критеријум КВ (КВ1+КВ2+КВ3+КВ4)</w:t>
            </w:r>
          </w:p>
        </w:tc>
        <w:tc>
          <w:tcPr>
            <w:tcW w:w="6235" w:type="dxa"/>
            <w:gridSpan w:val="4"/>
            <w:vAlign w:val="center"/>
          </w:tcPr>
          <w:p w14:paraId="2EC88E88"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val="sr-Cyrl-RS"/>
              </w:rPr>
            </w:pPr>
            <w:r w:rsidRPr="009C35B6">
              <w:rPr>
                <w:rFonts w:ascii="Arial" w:eastAsia="Times New Roman" w:hAnsi="Arial" w:cs="Arial"/>
                <w:b/>
                <w:bCs/>
                <w:color w:val="000000"/>
                <w:lang w:val="sr-Cyrl-RS"/>
              </w:rPr>
              <w:t>40 пондера</w:t>
            </w:r>
          </w:p>
        </w:tc>
      </w:tr>
    </w:tbl>
    <w:p w14:paraId="1F4CFCB2"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p>
    <w:p w14:paraId="6786FE7F" w14:textId="77777777"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14:paraId="40DE3311"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КВ</w:t>
      </w:r>
    </w:p>
    <w:p w14:paraId="2759E05B" w14:textId="77777777"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14:paraId="26E12685" w14:textId="77777777" w:rsidTr="009C35B6">
        <w:tc>
          <w:tcPr>
            <w:tcW w:w="9016" w:type="dxa"/>
            <w:shd w:val="clear" w:color="auto" w:fill="B6E1E7"/>
          </w:tcPr>
          <w:p w14:paraId="3E00B9FB" w14:textId="77777777"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mc:AlternateContent>
                <mc:Choice Requires="wps">
                  <w:drawing>
                    <wp:anchor distT="0" distB="0" distL="114300" distR="114300" simplePos="0" relativeHeight="251668480" behindDoc="0" locked="0" layoutInCell="1" allowOverlap="1" wp14:anchorId="5AAA0A79" wp14:editId="4860A5AA">
                      <wp:simplePos x="0" y="0"/>
                      <wp:positionH relativeFrom="column">
                        <wp:posOffset>149225</wp:posOffset>
                      </wp:positionH>
                      <wp:positionV relativeFrom="paragraph">
                        <wp:posOffset>66675</wp:posOffset>
                      </wp:positionV>
                      <wp:extent cx="495300" cy="323850"/>
                      <wp:effectExtent l="0" t="19050" r="38100" b="38100"/>
                      <wp:wrapNone/>
                      <wp:docPr id="1197120712"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247D" id="Arrow: Right 7" o:spid="_x0000_s1026" type="#_x0000_t13" style="position:absolute;margin-left:11.75pt;margin-top:5.25pt;width:3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14:paraId="3CEBB17E" w14:textId="77777777" w:rsidR="009C35B6" w:rsidRPr="009C35B6" w:rsidRDefault="009C35B6" w:rsidP="009C35B6">
            <w:pPr>
              <w:tabs>
                <w:tab w:val="left" w:pos="567"/>
              </w:tabs>
              <w:spacing w:line="276" w:lineRule="auto"/>
              <w:jc w:val="both"/>
              <w:rPr>
                <w:rFonts w:ascii="Arial" w:eastAsia="Calibri" w:hAnsi="Arial" w:cs="Arial"/>
                <w:lang w:val="sr-Cyrl-RS"/>
              </w:rPr>
            </w:pPr>
          </w:p>
          <w:p w14:paraId="39050A69" w14:textId="77777777"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w:t>
            </w:r>
            <w:r w:rsidRPr="009C35B6">
              <w:rPr>
                <w:rFonts w:ascii="Arial" w:eastAsia="Calibri" w:hAnsi="Arial" w:cs="Arial"/>
                <w:lang w:val="ru-RU"/>
              </w:rPr>
              <w:t>ону</w:t>
            </w:r>
            <w:r w:rsidRPr="009C35B6">
              <w:rPr>
                <w:rFonts w:ascii="Arial" w:eastAsia="Calibri" w:hAnsi="Arial" w:cs="Arial"/>
                <w:lang w:val="sr-Cyrl-RS"/>
              </w:rPr>
              <w:t>ђ</w:t>
            </w:r>
            <w:r w:rsidRPr="009C35B6">
              <w:rPr>
                <w:rFonts w:ascii="Arial" w:eastAsia="Calibri" w:hAnsi="Arial" w:cs="Arial"/>
                <w:lang w:val="ru-RU"/>
              </w:rPr>
              <w:t>а</w:t>
            </w:r>
            <w:r w:rsidRPr="009C35B6">
              <w:rPr>
                <w:rFonts w:ascii="Arial" w:eastAsia="Calibri" w:hAnsi="Arial" w:cs="Arial"/>
                <w:lang w:val="sr-Cyrl-RS"/>
              </w:rPr>
              <w:t>ч</w:t>
            </w:r>
            <w:r w:rsidRPr="009C35B6">
              <w:rPr>
                <w:rFonts w:ascii="Arial" w:eastAsia="Calibri" w:hAnsi="Arial" w:cs="Arial"/>
                <w:lang w:val="ru-RU"/>
              </w:rPr>
              <w:t>и</w:t>
            </w:r>
            <w:r w:rsidRPr="009C35B6">
              <w:rPr>
                <w:rFonts w:ascii="Arial" w:eastAsia="Calibri" w:hAnsi="Arial" w:cs="Arial"/>
                <w:lang w:val="sr-Cyrl-RS"/>
              </w:rPr>
              <w:t>, поред тога што у обрасцу понуде наводе име и презиме радно ангажованог лица, уз понуду достављају уговор о радном ангажовању лица код понуђача, као и доказе којима потврђују тражено искуство у оквиру критеријума за доделу уговора (на пример, потврде послодавца о стеченом искуству и др).</w:t>
            </w:r>
          </w:p>
          <w:p w14:paraId="116D3D9B" w14:textId="77777777" w:rsidR="009C35B6" w:rsidRPr="009C35B6" w:rsidRDefault="009C35B6" w:rsidP="009C35B6">
            <w:pPr>
              <w:tabs>
                <w:tab w:val="left" w:pos="567"/>
              </w:tabs>
              <w:spacing w:line="276" w:lineRule="auto"/>
              <w:jc w:val="both"/>
              <w:rPr>
                <w:rFonts w:ascii="Arial" w:eastAsia="Calibri" w:hAnsi="Arial" w:cs="Arial"/>
                <w:lang w:val="sr-Cyrl-RS"/>
              </w:rPr>
            </w:pPr>
          </w:p>
        </w:tc>
      </w:tr>
    </w:tbl>
    <w:p w14:paraId="268F9389"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p>
    <w:p w14:paraId="6D1BB2BA" w14:textId="080A8F36" w:rsidR="009C35B6" w:rsidRDefault="009C35B6" w:rsidP="009C35B6">
      <w:pPr>
        <w:spacing w:after="160" w:line="276" w:lineRule="auto"/>
        <w:ind w:firstLine="720"/>
        <w:jc w:val="both"/>
        <w:rPr>
          <w:rFonts w:ascii="Arial" w:eastAsia="Calibri" w:hAnsi="Arial" w:cs="Arial"/>
          <w:kern w:val="2"/>
          <w:lang w:val="sr-Cyrl-RS"/>
          <w14:ligatures w14:val="standardContextual"/>
        </w:rPr>
      </w:pPr>
    </w:p>
    <w:p w14:paraId="1824CD4E" w14:textId="0C32EF70" w:rsidR="00696018" w:rsidRDefault="00696018" w:rsidP="009C35B6">
      <w:pPr>
        <w:spacing w:after="160" w:line="276" w:lineRule="auto"/>
        <w:ind w:firstLine="720"/>
        <w:jc w:val="both"/>
        <w:rPr>
          <w:rFonts w:ascii="Arial" w:eastAsia="Calibri" w:hAnsi="Arial" w:cs="Arial"/>
          <w:kern w:val="2"/>
          <w:lang w:val="sr-Cyrl-RS"/>
          <w14:ligatures w14:val="standardContextual"/>
        </w:rPr>
      </w:pPr>
    </w:p>
    <w:p w14:paraId="1918510A" w14:textId="77777777" w:rsidR="00696018" w:rsidRPr="009C35B6" w:rsidRDefault="00696018" w:rsidP="009C35B6">
      <w:pPr>
        <w:spacing w:after="160" w:line="276" w:lineRule="auto"/>
        <w:ind w:firstLine="720"/>
        <w:jc w:val="both"/>
        <w:rPr>
          <w:rFonts w:ascii="Arial" w:eastAsia="Calibri" w:hAnsi="Arial" w:cs="Arial"/>
          <w:kern w:val="2"/>
          <w:lang w:val="sr-Cyrl-RS"/>
          <w14:ligatures w14:val="standardContextual"/>
        </w:rPr>
      </w:pPr>
    </w:p>
    <w:p w14:paraId="23A3AEE1" w14:textId="0A186B34" w:rsidR="009C35B6" w:rsidRPr="00D9691F" w:rsidRDefault="009C35B6" w:rsidP="00D9691F">
      <w:pPr>
        <w:pStyle w:val="Heading2"/>
        <w:numPr>
          <w:ilvl w:val="1"/>
          <w:numId w:val="5"/>
        </w:numPr>
        <w:rPr>
          <w:lang w:val="ru-RU"/>
        </w:rPr>
      </w:pPr>
      <w:bookmarkStart w:id="12" w:name="_Toc184988061"/>
      <w:r w:rsidRPr="00D9691F">
        <w:rPr>
          <w:lang w:val="ru-RU"/>
        </w:rPr>
        <w:lastRenderedPageBreak/>
        <w:t>УСЛУГЕ ПРЕВОЂЕЊА СТРУЧНЕ ЛИТЕРАТУРЕ И АУТОРСКИХ ТЕКСТОВА</w:t>
      </w:r>
      <w:bookmarkEnd w:id="12"/>
    </w:p>
    <w:p w14:paraId="209CE4E1" w14:textId="77777777" w:rsidR="00696018" w:rsidRPr="00696018" w:rsidRDefault="00696018" w:rsidP="00696018">
      <w:pPr>
        <w:pStyle w:val="Heading2"/>
        <w:ind w:left="720"/>
        <w:jc w:val="left"/>
        <w:rPr>
          <w:rFonts w:eastAsia="Calibri"/>
          <w:lang w:val="ru-RU"/>
        </w:rPr>
      </w:pPr>
    </w:p>
    <w:p w14:paraId="5978A09D" w14:textId="77777777" w:rsidR="009C35B6" w:rsidRPr="009C35B6" w:rsidRDefault="009C35B6" w:rsidP="00341D3C">
      <w:pPr>
        <w:numPr>
          <w:ilvl w:val="0"/>
          <w:numId w:val="2"/>
        </w:numPr>
        <w:spacing w:after="160" w:line="276" w:lineRule="auto"/>
        <w:contextualSpacing/>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Уопштено о предмету набавке:</w:t>
      </w:r>
    </w:p>
    <w:p w14:paraId="03B68DB1"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Предметна јавна набавка подразумева услуге писаног </w:t>
      </w:r>
      <w:r w:rsidRPr="009C35B6">
        <w:rPr>
          <w:rFonts w:ascii="Arial" w:eastAsia="Calibri" w:hAnsi="Arial" w:cs="Arial"/>
          <w:bCs/>
          <w:kern w:val="2"/>
          <w:lang w:val="ru-RU"/>
          <w14:ligatures w14:val="standardContextual"/>
        </w:rPr>
        <w:t xml:space="preserve">превођења са страног језика </w:t>
      </w:r>
      <w:r w:rsidRPr="009C35B6">
        <w:rPr>
          <w:rFonts w:ascii="Arial" w:eastAsia="Calibri" w:hAnsi="Arial" w:cs="Arial"/>
          <w:kern w:val="2"/>
          <w:lang w:val="sr-Cyrl-RS"/>
          <w14:ligatures w14:val="standardContextual"/>
        </w:rPr>
        <w:t>на српски језик и са српског језика на страни језик за потребе</w:t>
      </w:r>
      <w:r w:rsidRPr="009C35B6">
        <w:rPr>
          <w:rFonts w:ascii="Arial" w:eastAsia="Calibri" w:hAnsi="Arial" w:cs="Arial"/>
          <w:kern w:val="2"/>
          <w:lang w:val="sr-Latn-RS"/>
          <w14:ligatures w14:val="standardContextual"/>
        </w:rPr>
        <w:t xml:space="preserve"> </w:t>
      </w:r>
      <w:r w:rsidRPr="009C35B6">
        <w:rPr>
          <w:rFonts w:ascii="Arial" w:eastAsia="Calibri" w:hAnsi="Arial" w:cs="Arial"/>
          <w:kern w:val="2"/>
          <w:lang w:val="sr-Cyrl-RS"/>
          <w14:ligatures w14:val="standardContextual"/>
        </w:rPr>
        <w:t>званичне кореспонденције наручиоца са иностраним партнерима и организацијама</w:t>
      </w:r>
      <w:r w:rsidRPr="009C35B6">
        <w:rPr>
          <w:rFonts w:ascii="Arial" w:eastAsia="Calibri" w:hAnsi="Arial" w:cs="Arial"/>
          <w:kern w:val="2"/>
          <w:lang w:val="sr-Latn-RS"/>
          <w14:ligatures w14:val="standardContextual"/>
        </w:rPr>
        <w:t xml:space="preserve">. </w:t>
      </w:r>
      <w:r w:rsidRPr="009C35B6">
        <w:rPr>
          <w:rFonts w:ascii="Arial" w:eastAsia="Calibri" w:hAnsi="Arial" w:cs="Arial"/>
          <w:kern w:val="2"/>
          <w:lang w:val="sr-Cyrl-RS"/>
          <w14:ligatures w14:val="standardContextual"/>
        </w:rPr>
        <w:t xml:space="preserve">  </w:t>
      </w:r>
    </w:p>
    <w:p w14:paraId="0D666CEF" w14:textId="77777777" w:rsidR="009C35B6" w:rsidRPr="009C35B6" w:rsidRDefault="009C35B6" w:rsidP="009C35B6">
      <w:pPr>
        <w:spacing w:after="160" w:line="276" w:lineRule="auto"/>
        <w:jc w:val="both"/>
        <w:rPr>
          <w:rFonts w:ascii="Arial" w:eastAsia="Calibri" w:hAnsi="Arial" w:cs="Arial"/>
          <w:kern w:val="2"/>
          <w:lang w:val="sr-Cyrl-C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sr-Cyrl-CS"/>
          <w14:ligatures w14:val="standardContextual"/>
        </w:rPr>
        <w:t xml:space="preserve">Услуге превођења врше се за енглески, немачки и француски језик. </w:t>
      </w:r>
      <w:r w:rsidRPr="009C35B6">
        <w:rPr>
          <w:rFonts w:ascii="Arial" w:eastAsia="Calibri" w:hAnsi="Arial" w:cs="Arial"/>
          <w:kern w:val="2"/>
          <w:lang w:val="sr-Cyrl-RS"/>
          <w14:ligatures w14:val="standardContextual"/>
        </w:rPr>
        <w:t xml:space="preserve">      </w:t>
      </w:r>
    </w:p>
    <w:p w14:paraId="2D6DD80E" w14:textId="77777777" w:rsidR="009C35B6" w:rsidRPr="009C35B6" w:rsidRDefault="009C35B6" w:rsidP="009C35B6">
      <w:pPr>
        <w:spacing w:after="160" w:line="276" w:lineRule="auto"/>
        <w:ind w:firstLine="720"/>
        <w:jc w:val="both"/>
        <w:rPr>
          <w:rFonts w:ascii="Arial" w:eastAsia="Calibri" w:hAnsi="Arial" w:cs="Arial"/>
          <w:kern w:val="2"/>
          <w:lang w:val="ru-RU"/>
          <w14:ligatures w14:val="standardContextual"/>
        </w:rPr>
      </w:pPr>
      <w:r w:rsidRPr="009C35B6">
        <w:rPr>
          <w:rFonts w:ascii="Arial" w:eastAsia="Calibri" w:hAnsi="Arial" w:cs="Arial"/>
          <w:kern w:val="2"/>
          <w:lang w:val="sr-Cyrl-CS"/>
          <w14:ligatures w14:val="standardContextual"/>
        </w:rPr>
        <w:t xml:space="preserve">Услуге се пружају сукцесивно, према потребама наручиоца. </w:t>
      </w:r>
      <w:bookmarkStart w:id="13" w:name="_Hlk154003066"/>
      <w:r w:rsidRPr="009C35B6">
        <w:rPr>
          <w:rFonts w:ascii="Arial" w:eastAsia="Calibri" w:hAnsi="Arial" w:cs="Arial"/>
          <w:kern w:val="2"/>
          <w:lang w:val="ru-RU"/>
          <w14:ligatures w14:val="standardContextual"/>
        </w:rPr>
        <w:t>За сваку конкретну услугу, наручилац издаје наруџбеницу</w:t>
      </w:r>
      <w:bookmarkEnd w:id="13"/>
      <w:r w:rsidRPr="009C35B6">
        <w:rPr>
          <w:rFonts w:ascii="Arial" w:eastAsia="Calibri" w:hAnsi="Arial" w:cs="Arial"/>
          <w:kern w:val="2"/>
          <w:lang w:val="ru-RU"/>
          <w14:ligatures w14:val="standardContextual"/>
        </w:rPr>
        <w:t xml:space="preserve"> </w:t>
      </w:r>
      <w:r w:rsidRPr="009C35B6">
        <w:rPr>
          <w:rFonts w:ascii="Arial" w:eastAsia="Calibri" w:hAnsi="Arial" w:cs="Arial"/>
          <w:kern w:val="2"/>
          <w:lang w:val="sr-Cyrl-RS"/>
          <w14:ligatures w14:val="standardContextual"/>
        </w:rPr>
        <w:t xml:space="preserve">коју пружаоцу услуге доставља </w:t>
      </w:r>
      <w:r w:rsidRPr="009C35B6">
        <w:rPr>
          <w:rFonts w:ascii="Arial" w:eastAsia="Calibri" w:hAnsi="Arial" w:cs="Arial"/>
          <w:kern w:val="2"/>
          <w:lang w:val="ru-RU"/>
          <w14:ligatures w14:val="standardContextual"/>
        </w:rPr>
        <w:t>електронским путем или путем поште. Уз наруџбеницу, наручилац пружаоцу услуге доставља документ/е који/е је потребно превести. Пружалац услуга се обавезује да предметне услуге изврши у складу са издатом наруџбеницом и у року одређеном у наруџбеници.</w:t>
      </w:r>
    </w:p>
    <w:p w14:paraId="6A0652A5" w14:textId="77777777" w:rsidR="009C35B6" w:rsidRPr="009C35B6" w:rsidRDefault="009C35B6" w:rsidP="009C35B6">
      <w:pPr>
        <w:spacing w:after="160" w:line="276" w:lineRule="auto"/>
        <w:ind w:firstLine="720"/>
        <w:jc w:val="both"/>
        <w:rPr>
          <w:rFonts w:ascii="Arial" w:eastAsia="Calibri" w:hAnsi="Arial" w:cs="Arial"/>
          <w:kern w:val="2"/>
          <w:lang w:val="ru-RU"/>
          <w14:ligatures w14:val="standardContextual"/>
        </w:rPr>
      </w:pPr>
      <w:r w:rsidRPr="009C35B6">
        <w:rPr>
          <w:rFonts w:ascii="Arial" w:eastAsia="Calibri" w:hAnsi="Arial" w:cs="Arial"/>
          <w:kern w:val="2"/>
          <w:lang w:val="ru-RU"/>
          <w14:ligatures w14:val="standardContextual"/>
        </w:rPr>
        <w:t>Пружалац услуге је одговоран за квалитет и дужан је да по обављеном преводу преведени текст прегледа и провери да ли превод у потпуности одговара оригиналу текста, као и то да ли су испуњени уговорени захтеви квалитета.</w:t>
      </w:r>
    </w:p>
    <w:p w14:paraId="0F9D81AD" w14:textId="77777777" w:rsidR="009C35B6" w:rsidRPr="009C35B6" w:rsidRDefault="009C35B6" w:rsidP="009C35B6">
      <w:pPr>
        <w:spacing w:after="160" w:line="276" w:lineRule="auto"/>
        <w:ind w:firstLine="720"/>
        <w:jc w:val="both"/>
        <w:rPr>
          <w:rFonts w:ascii="Arial" w:eastAsia="Calibri" w:hAnsi="Arial" w:cs="Arial"/>
          <w:kern w:val="2"/>
          <w:lang w:val="ru-RU"/>
          <w14:ligatures w14:val="standardContextual"/>
        </w:rPr>
      </w:pPr>
      <w:r w:rsidRPr="009C35B6">
        <w:rPr>
          <w:rFonts w:ascii="Arial" w:eastAsia="Calibri" w:hAnsi="Arial" w:cs="Arial"/>
          <w:kern w:val="2"/>
          <w:lang w:val="ru-RU"/>
          <w14:ligatures w14:val="standardContextual"/>
        </w:rPr>
        <w:t>Текст мора бити лекторисан.</w:t>
      </w:r>
    </w:p>
    <w:p w14:paraId="28847562" w14:textId="77777777" w:rsidR="009C35B6" w:rsidRPr="009C35B6" w:rsidRDefault="009C35B6" w:rsidP="009C35B6">
      <w:pPr>
        <w:spacing w:after="160" w:line="276" w:lineRule="auto"/>
        <w:ind w:firstLine="720"/>
        <w:jc w:val="both"/>
        <w:rPr>
          <w:rFonts w:ascii="Arial" w:eastAsia="Calibri" w:hAnsi="Arial" w:cs="Arial"/>
          <w:kern w:val="2"/>
          <w:lang w:val="ru-RU"/>
          <w14:ligatures w14:val="standardContextual"/>
        </w:rPr>
      </w:pPr>
      <w:r w:rsidRPr="009C35B6">
        <w:rPr>
          <w:rFonts w:ascii="Arial" w:eastAsia="Calibri" w:hAnsi="Arial" w:cs="Arial"/>
          <w:kern w:val="2"/>
          <w:lang w:val="ru-RU"/>
          <w14:ligatures w14:val="standardContextual"/>
        </w:rPr>
        <w:t>Квалитет превода мора бити такав да се може користити у облику у ком је испоручен без додатног форматирања, ревизије, провере и/или исправке од стране наручиоца.</w:t>
      </w:r>
    </w:p>
    <w:p w14:paraId="7C97F888" w14:textId="77777777" w:rsidR="009C35B6" w:rsidRPr="009C35B6" w:rsidRDefault="009C35B6" w:rsidP="009C35B6">
      <w:pPr>
        <w:spacing w:line="276" w:lineRule="auto"/>
        <w:ind w:firstLine="720"/>
        <w:jc w:val="both"/>
        <w:rPr>
          <w:rFonts w:ascii="Arial" w:eastAsia="Calibri" w:hAnsi="Arial" w:cs="Arial"/>
          <w:kern w:val="2"/>
          <w:lang w:val="ru-RU"/>
          <w14:ligatures w14:val="standardContextual"/>
        </w:rPr>
      </w:pPr>
    </w:p>
    <w:p w14:paraId="6D2661A1"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i/>
          <w:iCs/>
          <w:kern w:val="2"/>
          <w:u w:val="single"/>
          <w:lang w:val="sr-Cyrl-RS"/>
          <w14:ligatures w14:val="standardContextual"/>
        </w:rPr>
        <w:t>Критеријуми за избор привредног субјекта</w:t>
      </w:r>
    </w:p>
    <w:p w14:paraId="747C50CD"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У оквиру критеријума за избор привредног субјекта – образовне и стручне квалификације (члан 117. ЗЈН), наручилац је предвидео да понуђач има </w:t>
      </w:r>
      <w:r w:rsidRPr="009C35B6">
        <w:rPr>
          <w:rFonts w:ascii="Arial" w:eastAsia="Calibri" w:hAnsi="Arial" w:cs="Arial"/>
          <w:kern w:val="2"/>
          <w:lang w:val="ru-RU"/>
          <w14:ligatures w14:val="standardContextual"/>
        </w:rPr>
        <w:t>у радном односу или по другом уговорном односу у складу са Законом о раду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најма</w:t>
      </w:r>
      <w:r w:rsidRPr="009C35B6">
        <w:rPr>
          <w:rFonts w:ascii="Arial" w:eastAsia="Calibri" w:hAnsi="Arial" w:cs="Arial"/>
          <w:kern w:val="2"/>
          <w:lang w:val="sr-Cyrl-RS"/>
          <w14:ligatures w14:val="standardContextual"/>
        </w:rPr>
        <w:t>њ</w:t>
      </w:r>
      <w:r w:rsidRPr="009C35B6">
        <w:rPr>
          <w:rFonts w:ascii="Arial" w:eastAsia="Calibri" w:hAnsi="Arial" w:cs="Arial"/>
          <w:kern w:val="2"/>
          <w:lang w:val="ru-RU"/>
          <w14:ligatures w14:val="standardContextual"/>
        </w:rPr>
        <w:t>е</w:t>
      </w:r>
      <w:r w:rsidRPr="009C35B6">
        <w:rPr>
          <w:rFonts w:ascii="Arial" w:eastAsia="Calibri" w:hAnsi="Arial" w:cs="Arial"/>
          <w:kern w:val="2"/>
          <w:lang w:val="sr-Cyrl-RS"/>
          <w14:ligatures w14:val="standardContextual"/>
        </w:rPr>
        <w:t xml:space="preserve">: </w:t>
      </w:r>
    </w:p>
    <w:p w14:paraId="6034B74A" w14:textId="77777777"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3 преводиоца за писано превођење са енглеског на српски језик и обрнуто</w:t>
      </w:r>
    </w:p>
    <w:p w14:paraId="61688499" w14:textId="77777777"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3 преводиоца за писано превођење са немачког на српски језик и обрнуто</w:t>
      </w:r>
    </w:p>
    <w:p w14:paraId="01B3BEF2" w14:textId="77777777"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3 преводиоца за писано превођење са француског на српски језик и обрнуто</w:t>
      </w:r>
    </w:p>
    <w:p w14:paraId="67B109D3"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0DD2E18A" w14:textId="77777777" w:rsidR="009C35B6" w:rsidRPr="009C35B6"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sr-Cyrl-RS"/>
          <w14:ligatures w14:val="standardContextual"/>
        </w:rPr>
      </w:pPr>
      <w:r w:rsidRPr="009C35B6">
        <w:rPr>
          <w:rFonts w:ascii="Arial" w:eastAsia="Calibri" w:hAnsi="Arial" w:cs="Arial"/>
          <w:i/>
          <w:iCs/>
          <w:kern w:val="2"/>
          <w:u w:val="single"/>
          <w:lang w:val="sr-Cyrl-RS"/>
          <w14:ligatures w14:val="standardContextual"/>
        </w:rPr>
        <w:t>Критеријуми за доделу уговора</w:t>
      </w:r>
    </w:p>
    <w:p w14:paraId="6E23153D"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lastRenderedPageBreak/>
        <w:tab/>
        <w:t>У предметној јавној набавци наручилац ће уговор доделити применом критеријума економски најповољнија понуда који је заснован на следећим критеријумима:</w:t>
      </w:r>
    </w:p>
    <w:tbl>
      <w:tblPr>
        <w:tblStyle w:val="GridTable4-Accent11"/>
        <w:tblW w:w="0" w:type="auto"/>
        <w:tblLook w:val="04A0" w:firstRow="1" w:lastRow="0" w:firstColumn="1" w:lastColumn="0" w:noHBand="0" w:noVBand="1"/>
      </w:tblPr>
      <w:tblGrid>
        <w:gridCol w:w="5098"/>
        <w:gridCol w:w="3918"/>
      </w:tblGrid>
      <w:tr w:rsidR="009C35B6" w:rsidRPr="009C35B6" w14:paraId="5B1A6B2C"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52F2C882" w14:textId="77777777" w:rsidR="009C35B6" w:rsidRPr="009C35B6" w:rsidRDefault="009C35B6" w:rsidP="009C35B6">
            <w:pPr>
              <w:tabs>
                <w:tab w:val="left" w:pos="567"/>
              </w:tabs>
              <w:spacing w:line="276" w:lineRule="auto"/>
              <w:jc w:val="center"/>
              <w:rPr>
                <w:rFonts w:ascii="Arial" w:eastAsia="Calibri" w:hAnsi="Arial" w:cs="Arial"/>
                <w:color w:val="000000"/>
                <w:lang w:val="sr-Cyrl-RS"/>
              </w:rPr>
            </w:pPr>
            <w:r w:rsidRPr="009C35B6">
              <w:rPr>
                <w:rFonts w:ascii="Arial" w:eastAsia="Calibri" w:hAnsi="Arial" w:cs="Arial"/>
                <w:color w:val="000000"/>
                <w:lang w:val="sr-Cyrl-RS"/>
              </w:rPr>
              <w:t>Цена (Ц)</w:t>
            </w:r>
          </w:p>
        </w:tc>
        <w:tc>
          <w:tcPr>
            <w:tcW w:w="3918" w:type="dxa"/>
            <w:shd w:val="clear" w:color="auto" w:fill="B6E1E7"/>
            <w:vAlign w:val="center"/>
          </w:tcPr>
          <w:p w14:paraId="47030D1A" w14:textId="77777777" w:rsidR="009C35B6" w:rsidRPr="009C35B6"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lang w:val="sr-Cyrl-RS"/>
              </w:rPr>
            </w:pPr>
            <w:r w:rsidRPr="009C35B6">
              <w:rPr>
                <w:rFonts w:ascii="Arial" w:eastAsia="Calibri" w:hAnsi="Arial" w:cs="Arial"/>
                <w:color w:val="000000"/>
                <w:lang w:val="sr-Cyrl-RS"/>
              </w:rPr>
              <w:t>Макс. 70 пондера</w:t>
            </w:r>
          </w:p>
        </w:tc>
      </w:tr>
      <w:tr w:rsidR="009C35B6" w:rsidRPr="009C35B6" w14:paraId="1AAAC98B"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F8E50D3" w14:textId="77777777" w:rsidR="009C35B6" w:rsidRPr="009C35B6" w:rsidRDefault="009C35B6" w:rsidP="009C35B6">
            <w:pPr>
              <w:tabs>
                <w:tab w:val="left" w:pos="567"/>
              </w:tabs>
              <w:spacing w:line="276" w:lineRule="auto"/>
              <w:jc w:val="center"/>
              <w:rPr>
                <w:rFonts w:ascii="Arial" w:eastAsia="Calibri" w:hAnsi="Arial" w:cs="Arial"/>
                <w:lang w:val="sr-Cyrl-RS"/>
              </w:rPr>
            </w:pPr>
            <w:r w:rsidRPr="009C35B6">
              <w:rPr>
                <w:rFonts w:ascii="Arial" w:eastAsia="Calibri" w:hAnsi="Arial" w:cs="Arial"/>
                <w:lang w:val="sr-Cyrl-RS"/>
              </w:rPr>
              <w:t>Квалитет радно ангажованих (К)</w:t>
            </w:r>
          </w:p>
        </w:tc>
        <w:tc>
          <w:tcPr>
            <w:tcW w:w="3918" w:type="dxa"/>
            <w:vAlign w:val="center"/>
          </w:tcPr>
          <w:p w14:paraId="31BF8053" w14:textId="77777777"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val="sr-Cyrl-RS"/>
              </w:rPr>
            </w:pPr>
            <w:r w:rsidRPr="009C35B6">
              <w:rPr>
                <w:rFonts w:ascii="Arial" w:eastAsia="Calibri" w:hAnsi="Arial" w:cs="Arial"/>
                <w:lang w:val="sr-Cyrl-RS"/>
              </w:rPr>
              <w:t>Макс. 30 пондера</w:t>
            </w:r>
          </w:p>
        </w:tc>
      </w:tr>
    </w:tbl>
    <w:p w14:paraId="2502A7B9"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71E92FF5"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 xml:space="preserve">Цена </w:t>
      </w:r>
    </w:p>
    <w:p w14:paraId="19E1BC59"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r>
      <w:r w:rsidRPr="009C35B6">
        <w:rPr>
          <w:rFonts w:ascii="Arial" w:eastAsia="Calibri" w:hAnsi="Arial" w:cs="Arial"/>
          <w:kern w:val="2"/>
          <w:lang w:val="ru-RU"/>
          <w14:ligatures w14:val="standardContextual"/>
        </w:rPr>
        <w:t>Максимални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број</w:t>
      </w:r>
      <w:r w:rsidRPr="009C35B6">
        <w:rPr>
          <w:rFonts w:ascii="Arial" w:eastAsia="Calibri" w:hAnsi="Arial" w:cs="Arial"/>
          <w:kern w:val="2"/>
          <w:lang w:val="sr-Cyrl-RS"/>
          <w14:ligatures w14:val="standardContextual"/>
        </w:rPr>
        <w:t xml:space="preserve"> пондера добија најнижа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w:t>
      </w:r>
      <w:r w:rsidRPr="009C35B6">
        <w:rPr>
          <w:rFonts w:ascii="Arial" w:eastAsia="Calibri" w:hAnsi="Arial" w:cs="Arial"/>
          <w:kern w:val="2"/>
          <w:lang w:val="sr-Cyrl-RS"/>
          <w14:ligatures w14:val="standardContextual"/>
        </w:rPr>
        <w:t xml:space="preserve">а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xml:space="preserve">, док се </w:t>
      </w:r>
      <w:r w:rsidRPr="009C35B6">
        <w:rPr>
          <w:rFonts w:ascii="Arial" w:eastAsia="Calibri" w:hAnsi="Arial" w:cs="Arial"/>
          <w:kern w:val="2"/>
          <w:lang w:val="ru-RU"/>
          <w14:ligatures w14:val="standardContextual"/>
        </w:rPr>
        <w:t>остале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пону</w:t>
      </w:r>
      <w:r w:rsidRPr="009C35B6">
        <w:rPr>
          <w:rFonts w:ascii="Arial" w:eastAsia="Calibri" w:hAnsi="Arial" w:cs="Arial"/>
          <w:kern w:val="2"/>
          <w:lang w:val="sr-Cyrl-RS"/>
          <w14:ligatures w14:val="standardContextual"/>
        </w:rPr>
        <w:t>ђ</w:t>
      </w:r>
      <w:r w:rsidRPr="009C35B6">
        <w:rPr>
          <w:rFonts w:ascii="Arial" w:eastAsia="Calibri" w:hAnsi="Arial" w:cs="Arial"/>
          <w:kern w:val="2"/>
          <w:lang w:val="ru-RU"/>
          <w14:ligatures w14:val="standardContextual"/>
        </w:rPr>
        <w:t>ене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вредности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бодују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односу</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на</w:t>
      </w:r>
      <w:r w:rsidRPr="009C35B6">
        <w:rPr>
          <w:rFonts w:ascii="Arial" w:eastAsia="Calibri" w:hAnsi="Arial" w:cs="Arial"/>
          <w:kern w:val="2"/>
          <w:lang w:val="sr-Cyrl-RS"/>
          <w14:ligatures w14:val="standardContextual"/>
        </w:rPr>
        <w:t xml:space="preserve"> најнижу </w:t>
      </w:r>
      <w:r w:rsidRPr="009C35B6">
        <w:rPr>
          <w:rFonts w:ascii="Arial" w:eastAsia="Calibri" w:hAnsi="Arial" w:cs="Arial"/>
          <w:kern w:val="2"/>
          <w:lang w:val="ru-RU"/>
          <w14:ligatures w14:val="standardContextual"/>
        </w:rPr>
        <w:t>вредност</w:t>
      </w:r>
      <w:r w:rsidRPr="009C35B6">
        <w:rPr>
          <w:rFonts w:ascii="Arial" w:eastAsia="Calibri" w:hAnsi="Arial" w:cs="Arial"/>
          <w:kern w:val="2"/>
          <w:lang w:val="sr-Cyrl-RS"/>
          <w14:ligatures w14:val="standardContextual"/>
        </w:rPr>
        <w:t>, по следећој формули:</w:t>
      </w:r>
    </w:p>
    <w:p w14:paraId="04035D01"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013AB76"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 xml:space="preserve">Ц </w:t>
      </w:r>
      <w:r w:rsidRPr="009C35B6">
        <w:rPr>
          <w:rFonts w:ascii="Arial" w:eastAsia="Calibri" w:hAnsi="Arial" w:cs="Arial"/>
          <w:b/>
          <w:bCs/>
          <w:kern w:val="2"/>
          <w:lang w:val="sr-Latn-RS"/>
          <w14:ligatures w14:val="standardContextual"/>
        </w:rPr>
        <w:t>=</w:t>
      </w:r>
      <w:r w:rsidRPr="009C35B6">
        <w:rPr>
          <w:rFonts w:ascii="Arial" w:eastAsia="Calibri" w:hAnsi="Arial" w:cs="Arial"/>
          <w:b/>
          <w:bCs/>
          <w:kern w:val="2"/>
          <w:lang w:val="sr-Cyrl-RS"/>
          <w14:ligatures w14:val="standardContextual"/>
        </w:rPr>
        <w:t xml:space="preserve"> МинЦ/П </w:t>
      </w:r>
      <w:r w:rsidRPr="009C35B6">
        <w:rPr>
          <w:rFonts w:ascii="Arial" w:eastAsia="Calibri" w:hAnsi="Arial" w:cs="Arial"/>
          <w:b/>
          <w:bCs/>
          <w:kern w:val="2"/>
          <w:lang w:val="en-GB"/>
          <w14:ligatures w14:val="standardContextual"/>
        </w:rPr>
        <w:t>x</w:t>
      </w:r>
      <w:r w:rsidRPr="009C35B6">
        <w:rPr>
          <w:rFonts w:ascii="Arial" w:eastAsia="Calibri" w:hAnsi="Arial" w:cs="Arial"/>
          <w:b/>
          <w:bCs/>
          <w:kern w:val="2"/>
          <w:lang w:val="sr-Cyrl-RS"/>
          <w14:ligatures w14:val="standardContextual"/>
        </w:rPr>
        <w:t xml:space="preserve"> 70*</w:t>
      </w:r>
    </w:p>
    <w:p w14:paraId="5DA574E7"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r w:rsidRPr="009C35B6">
        <w:rPr>
          <w:rFonts w:ascii="Arial" w:eastAsia="Calibri" w:hAnsi="Arial" w:cs="Arial"/>
          <w:i/>
          <w:iCs/>
          <w:kern w:val="2"/>
          <w:lang w:val="sr-Cyrl-RS"/>
          <w14:ligatures w14:val="standardContextual"/>
        </w:rPr>
        <w:t>*(Ц = број пондера цене, МинЦ = цена најниже понуде, П = понуђена цена)</w:t>
      </w:r>
    </w:p>
    <w:p w14:paraId="2F82B41C"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14:paraId="4444691E"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r w:rsidRPr="009C35B6">
        <w:rPr>
          <w:rFonts w:ascii="Arial" w:eastAsia="Calibri" w:hAnsi="Arial" w:cs="Arial"/>
          <w:b/>
          <w:bCs/>
          <w:kern w:val="2"/>
          <w:u w:val="single"/>
          <w:lang w:val="sr-Cyrl-RS"/>
          <w14:ligatures w14:val="standardContextual"/>
        </w:rPr>
        <w:t>Квалитет радно ангажованих (К)</w:t>
      </w:r>
    </w:p>
    <w:p w14:paraId="0F8180AA"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 xml:space="preserve">Код овог критеријума наручилац вреднује искуство лица која су наведена у оквиру критеријума за избор привредног субјекта, и то искуство у превођењу </w:t>
      </w:r>
      <w:r w:rsidRPr="009C35B6">
        <w:rPr>
          <w:rFonts w:ascii="Arial" w:eastAsia="Calibri" w:hAnsi="Arial" w:cs="Arial"/>
          <w:kern w:val="2"/>
          <w:lang w:val="ru-RU"/>
          <w14:ligatures w14:val="standardContextual"/>
        </w:rPr>
        <w:t>нау</w:t>
      </w:r>
      <w:r w:rsidRPr="009C35B6">
        <w:rPr>
          <w:rFonts w:ascii="Arial" w:eastAsia="Calibri" w:hAnsi="Arial" w:cs="Arial"/>
          <w:kern w:val="2"/>
          <w:lang w:val="sr-Cyrl-RS"/>
          <w14:ligatures w14:val="standardContextual"/>
        </w:rPr>
        <w:t>ч</w:t>
      </w:r>
      <w:r w:rsidRPr="009C35B6">
        <w:rPr>
          <w:rFonts w:ascii="Arial" w:eastAsia="Calibri" w:hAnsi="Arial" w:cs="Arial"/>
          <w:kern w:val="2"/>
          <w:lang w:val="ru-RU"/>
          <w14:ligatures w14:val="standardContextual"/>
        </w:rPr>
        <w:t>но</w:t>
      </w:r>
      <w:r w:rsidRPr="009C35B6">
        <w:rPr>
          <w:rFonts w:ascii="Arial" w:eastAsia="Calibri" w:hAnsi="Arial" w:cs="Arial"/>
          <w:kern w:val="2"/>
          <w:lang w:val="sr-Cyrl-RS"/>
          <w14:ligatures w14:val="standardContextual"/>
        </w:rPr>
        <w:t>-</w:t>
      </w:r>
      <w:r w:rsidRPr="009C35B6">
        <w:rPr>
          <w:rFonts w:ascii="Arial" w:eastAsia="Calibri" w:hAnsi="Arial" w:cs="Arial"/>
          <w:kern w:val="2"/>
          <w:lang w:val="ru-RU"/>
          <w14:ligatures w14:val="standardContextual"/>
        </w:rPr>
        <w:t>истра</w:t>
      </w:r>
      <w:r w:rsidRPr="009C35B6">
        <w:rPr>
          <w:rFonts w:ascii="Arial" w:eastAsia="Calibri" w:hAnsi="Arial" w:cs="Arial"/>
          <w:kern w:val="2"/>
          <w:lang w:val="sr-Cyrl-RS"/>
          <w14:ligatures w14:val="standardContextual"/>
        </w:rPr>
        <w:t>ж</w:t>
      </w:r>
      <w:r w:rsidRPr="009C35B6">
        <w:rPr>
          <w:rFonts w:ascii="Arial" w:eastAsia="Calibri" w:hAnsi="Arial" w:cs="Arial"/>
          <w:kern w:val="2"/>
          <w:lang w:val="ru-RU"/>
          <w14:ligatures w14:val="standardContextual"/>
        </w:rPr>
        <w:t>ива</w:t>
      </w:r>
      <w:r w:rsidRPr="009C35B6">
        <w:rPr>
          <w:rFonts w:ascii="Arial" w:eastAsia="Calibri" w:hAnsi="Arial" w:cs="Arial"/>
          <w:kern w:val="2"/>
          <w:lang w:val="sr-Cyrl-RS"/>
          <w14:ligatures w14:val="standardContextual"/>
        </w:rPr>
        <w:t>ч</w:t>
      </w:r>
      <w:r w:rsidRPr="009C35B6">
        <w:rPr>
          <w:rFonts w:ascii="Arial" w:eastAsia="Calibri" w:hAnsi="Arial" w:cs="Arial"/>
          <w:kern w:val="2"/>
          <w:lang w:val="ru-RU"/>
          <w14:ligatures w14:val="standardContextual"/>
        </w:rPr>
        <w:t>ких</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текстова</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из</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области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историје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уметности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археологије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етнологије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конзервације</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и</w:t>
      </w:r>
      <w:r w:rsidRPr="009C35B6">
        <w:rPr>
          <w:rFonts w:ascii="Arial" w:eastAsia="Calibri" w:hAnsi="Arial" w:cs="Arial"/>
          <w:kern w:val="2"/>
          <w:lang w:val="sr-Cyrl-RS"/>
          <w14:ligatures w14:val="standardContextual"/>
        </w:rPr>
        <w:t xml:space="preserve"> </w:t>
      </w:r>
      <w:r w:rsidRPr="009C35B6">
        <w:rPr>
          <w:rFonts w:ascii="Arial" w:eastAsia="Calibri" w:hAnsi="Arial" w:cs="Arial"/>
          <w:kern w:val="2"/>
          <w:lang w:val="ru-RU"/>
          <w14:ligatures w14:val="standardContextual"/>
        </w:rPr>
        <w:t>рестаурације</w:t>
      </w:r>
      <w:r w:rsidRPr="009C35B6">
        <w:rPr>
          <w:rFonts w:ascii="Arial" w:eastAsia="Calibri" w:hAnsi="Arial" w:cs="Arial"/>
          <w:kern w:val="2"/>
          <w:lang w:val="sr-Cyrl-RS"/>
          <w14:ligatures w14:val="standardContextual"/>
        </w:rPr>
        <w:t>.</w:t>
      </w:r>
    </w:p>
    <w:p w14:paraId="7631A849"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ab/>
        <w:t>Пондерисање се врши на начин да се одређени број пондера додељује у зависности од тога колико преводилаца, који ће бити ангажовани на извршењу услуга, има искуство у наведеној области.</w:t>
      </w:r>
    </w:p>
    <w:p w14:paraId="6A11F101"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Оцењивање ће се вршити по следећој формули:</w:t>
      </w:r>
    </w:p>
    <w:p w14:paraId="4D579033"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tbl>
      <w:tblPr>
        <w:tblStyle w:val="GridTable6Colorful-Accent11"/>
        <w:tblW w:w="0" w:type="auto"/>
        <w:tblLook w:val="04A0" w:firstRow="1" w:lastRow="0" w:firstColumn="1" w:lastColumn="0" w:noHBand="0" w:noVBand="1"/>
      </w:tblPr>
      <w:tblGrid>
        <w:gridCol w:w="5949"/>
        <w:gridCol w:w="3067"/>
      </w:tblGrid>
      <w:tr w:rsidR="009C35B6" w:rsidRPr="009C35B6" w14:paraId="4B9E5A54" w14:textId="77777777" w:rsidTr="0049567C">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3343D064"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Квалитет радно ангажованих</w:t>
            </w:r>
          </w:p>
        </w:tc>
      </w:tr>
      <w:tr w:rsidR="009C35B6" w:rsidRPr="009C35B6" w14:paraId="406E5267" w14:textId="77777777" w:rsidTr="009C35B6">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14FC25BB"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 xml:space="preserve">Број ангажованих преводилаца са искуством у превођењу </w:t>
            </w:r>
            <w:r w:rsidRPr="009C35B6">
              <w:rPr>
                <w:rFonts w:ascii="Arial" w:eastAsia="Calibri" w:hAnsi="Arial" w:cs="Arial"/>
                <w:color w:val="000000"/>
                <w:lang w:val="ru-RU"/>
              </w:rPr>
              <w:t>нау</w:t>
            </w:r>
            <w:r w:rsidRPr="009C35B6">
              <w:rPr>
                <w:rFonts w:ascii="Arial" w:eastAsia="Calibri" w:hAnsi="Arial" w:cs="Arial"/>
                <w:color w:val="000000"/>
                <w:lang w:val="sr-Cyrl-RS"/>
              </w:rPr>
              <w:t>ч</w:t>
            </w:r>
            <w:r w:rsidRPr="009C35B6">
              <w:rPr>
                <w:rFonts w:ascii="Arial" w:eastAsia="Calibri" w:hAnsi="Arial" w:cs="Arial"/>
                <w:color w:val="000000"/>
                <w:lang w:val="ru-RU"/>
              </w:rPr>
              <w:t>но</w:t>
            </w:r>
            <w:r w:rsidRPr="009C35B6">
              <w:rPr>
                <w:rFonts w:ascii="Arial" w:eastAsia="Calibri" w:hAnsi="Arial" w:cs="Arial"/>
                <w:color w:val="000000"/>
                <w:lang w:val="sr-Cyrl-RS"/>
              </w:rPr>
              <w:t>-</w:t>
            </w:r>
            <w:r w:rsidRPr="009C35B6">
              <w:rPr>
                <w:rFonts w:ascii="Arial" w:eastAsia="Calibri" w:hAnsi="Arial" w:cs="Arial"/>
                <w:color w:val="000000"/>
                <w:lang w:val="ru-RU"/>
              </w:rPr>
              <w:t>истра</w:t>
            </w:r>
            <w:r w:rsidRPr="009C35B6">
              <w:rPr>
                <w:rFonts w:ascii="Arial" w:eastAsia="Calibri" w:hAnsi="Arial" w:cs="Arial"/>
                <w:color w:val="000000"/>
                <w:lang w:val="sr-Cyrl-RS"/>
              </w:rPr>
              <w:t>ж</w:t>
            </w:r>
            <w:r w:rsidRPr="009C35B6">
              <w:rPr>
                <w:rFonts w:ascii="Arial" w:eastAsia="Calibri" w:hAnsi="Arial" w:cs="Arial"/>
                <w:color w:val="000000"/>
                <w:lang w:val="ru-RU"/>
              </w:rPr>
              <w:t>ива</w:t>
            </w:r>
            <w:r w:rsidRPr="009C35B6">
              <w:rPr>
                <w:rFonts w:ascii="Arial" w:eastAsia="Calibri" w:hAnsi="Arial" w:cs="Arial"/>
                <w:color w:val="000000"/>
                <w:lang w:val="sr-Cyrl-RS"/>
              </w:rPr>
              <w:t>ч</w:t>
            </w:r>
            <w:r w:rsidRPr="009C35B6">
              <w:rPr>
                <w:rFonts w:ascii="Arial" w:eastAsia="Calibri" w:hAnsi="Arial" w:cs="Arial"/>
                <w:color w:val="000000"/>
                <w:lang w:val="ru-RU"/>
              </w:rPr>
              <w:t>ких</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текстова</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из</w:t>
            </w:r>
            <w:r w:rsidRPr="009C35B6">
              <w:rPr>
                <w:rFonts w:ascii="Arial" w:eastAsia="Calibri" w:hAnsi="Arial" w:cs="Arial"/>
                <w:color w:val="000000"/>
                <w:lang w:val="sr-Cyrl-RS"/>
              </w:rPr>
              <w:t xml:space="preserve"> тражене области – ЕНГЛЕСКИ ЈЕЗИК (К1)</w:t>
            </w:r>
          </w:p>
        </w:tc>
        <w:tc>
          <w:tcPr>
            <w:tcW w:w="3067" w:type="dxa"/>
            <w:vAlign w:val="center"/>
            <w:hideMark/>
          </w:tcPr>
          <w:p w14:paraId="284028EA"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Број пондера</w:t>
            </w:r>
          </w:p>
        </w:tc>
      </w:tr>
      <w:tr w:rsidR="009C35B6" w:rsidRPr="009C35B6" w14:paraId="22D65A0B" w14:textId="77777777" w:rsidTr="0049567C">
        <w:trPr>
          <w:trHeight w:val="481"/>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35C1880"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преводилаца</w:t>
            </w:r>
          </w:p>
        </w:tc>
        <w:tc>
          <w:tcPr>
            <w:tcW w:w="3067" w:type="dxa"/>
            <w:vAlign w:val="center"/>
          </w:tcPr>
          <w:p w14:paraId="5F24D398"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пондера</w:t>
            </w:r>
          </w:p>
        </w:tc>
      </w:tr>
      <w:tr w:rsidR="009C35B6" w:rsidRPr="009C35B6" w14:paraId="1C908C8F" w14:textId="77777777" w:rsidTr="009C35B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14491A16"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1 преводилац</w:t>
            </w:r>
          </w:p>
        </w:tc>
        <w:tc>
          <w:tcPr>
            <w:tcW w:w="3067" w:type="dxa"/>
            <w:vAlign w:val="center"/>
            <w:hideMark/>
          </w:tcPr>
          <w:p w14:paraId="537A7969"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4 пондера</w:t>
            </w:r>
          </w:p>
        </w:tc>
      </w:tr>
      <w:tr w:rsidR="009C35B6" w:rsidRPr="009C35B6" w14:paraId="748B66ED" w14:textId="77777777" w:rsidTr="0049567C">
        <w:trPr>
          <w:trHeight w:val="604"/>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706D1480"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lastRenderedPageBreak/>
              <w:t>2 преводиоца</w:t>
            </w:r>
          </w:p>
        </w:tc>
        <w:tc>
          <w:tcPr>
            <w:tcW w:w="3067" w:type="dxa"/>
            <w:vAlign w:val="center"/>
            <w:hideMark/>
          </w:tcPr>
          <w:p w14:paraId="23B86870"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6 пондера</w:t>
            </w:r>
          </w:p>
        </w:tc>
      </w:tr>
      <w:tr w:rsidR="009C35B6" w:rsidRPr="009C35B6" w14:paraId="0B1B7E40" w14:textId="77777777" w:rsidTr="009C35B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22F894ED"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3 преводиоца</w:t>
            </w:r>
          </w:p>
        </w:tc>
        <w:tc>
          <w:tcPr>
            <w:tcW w:w="3067" w:type="dxa"/>
            <w:vAlign w:val="center"/>
            <w:hideMark/>
          </w:tcPr>
          <w:p w14:paraId="35760145"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10 пондера</w:t>
            </w:r>
          </w:p>
        </w:tc>
      </w:tr>
      <w:tr w:rsidR="009C35B6" w:rsidRPr="009C35B6" w14:paraId="397EC6C1" w14:textId="77777777" w:rsidTr="0049567C">
        <w:trPr>
          <w:trHeight w:val="40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38C709FC"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Максималан број пондера К1</w:t>
            </w:r>
          </w:p>
        </w:tc>
        <w:tc>
          <w:tcPr>
            <w:tcW w:w="3067" w:type="dxa"/>
            <w:vAlign w:val="center"/>
          </w:tcPr>
          <w:p w14:paraId="46D6CCE2"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b/>
                <w:bCs/>
                <w:color w:val="000000"/>
                <w:kern w:val="3"/>
                <w:lang w:val="sr-Cyrl-RS" w:eastAsia="zh-CN" w:bidi="hi-IN"/>
              </w:rPr>
              <w:t>10 пондера</w:t>
            </w:r>
          </w:p>
        </w:tc>
      </w:tr>
      <w:tr w:rsidR="009C35B6" w:rsidRPr="009C35B6" w14:paraId="4267839F" w14:textId="77777777" w:rsidTr="009C35B6">
        <w:trPr>
          <w:cnfStyle w:val="000000100000" w:firstRow="0" w:lastRow="0" w:firstColumn="0" w:lastColumn="0" w:oddVBand="0" w:evenVBand="0" w:oddHBand="1"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F9BACFC"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 xml:space="preserve">Број ангажованих преводилаца са искуством у превођењу </w:t>
            </w:r>
            <w:r w:rsidRPr="009C35B6">
              <w:rPr>
                <w:rFonts w:ascii="Arial" w:eastAsia="Calibri" w:hAnsi="Arial" w:cs="Arial"/>
                <w:color w:val="000000"/>
                <w:lang w:val="ru-RU"/>
              </w:rPr>
              <w:t>нау</w:t>
            </w:r>
            <w:r w:rsidRPr="009C35B6">
              <w:rPr>
                <w:rFonts w:ascii="Arial" w:eastAsia="Calibri" w:hAnsi="Arial" w:cs="Arial"/>
                <w:color w:val="000000"/>
                <w:lang w:val="sr-Cyrl-RS"/>
              </w:rPr>
              <w:t>ч</w:t>
            </w:r>
            <w:r w:rsidRPr="009C35B6">
              <w:rPr>
                <w:rFonts w:ascii="Arial" w:eastAsia="Calibri" w:hAnsi="Arial" w:cs="Arial"/>
                <w:color w:val="000000"/>
                <w:lang w:val="ru-RU"/>
              </w:rPr>
              <w:t>но</w:t>
            </w:r>
            <w:r w:rsidRPr="009C35B6">
              <w:rPr>
                <w:rFonts w:ascii="Arial" w:eastAsia="Calibri" w:hAnsi="Arial" w:cs="Arial"/>
                <w:color w:val="000000"/>
                <w:lang w:val="sr-Cyrl-RS"/>
              </w:rPr>
              <w:t>-</w:t>
            </w:r>
            <w:r w:rsidRPr="009C35B6">
              <w:rPr>
                <w:rFonts w:ascii="Arial" w:eastAsia="Calibri" w:hAnsi="Arial" w:cs="Arial"/>
                <w:color w:val="000000"/>
                <w:lang w:val="ru-RU"/>
              </w:rPr>
              <w:t>истра</w:t>
            </w:r>
            <w:r w:rsidRPr="009C35B6">
              <w:rPr>
                <w:rFonts w:ascii="Arial" w:eastAsia="Calibri" w:hAnsi="Arial" w:cs="Arial"/>
                <w:color w:val="000000"/>
                <w:lang w:val="sr-Cyrl-RS"/>
              </w:rPr>
              <w:t>ж</w:t>
            </w:r>
            <w:r w:rsidRPr="009C35B6">
              <w:rPr>
                <w:rFonts w:ascii="Arial" w:eastAsia="Calibri" w:hAnsi="Arial" w:cs="Arial"/>
                <w:color w:val="000000"/>
                <w:lang w:val="ru-RU"/>
              </w:rPr>
              <w:t>ива</w:t>
            </w:r>
            <w:r w:rsidRPr="009C35B6">
              <w:rPr>
                <w:rFonts w:ascii="Arial" w:eastAsia="Calibri" w:hAnsi="Arial" w:cs="Arial"/>
                <w:color w:val="000000"/>
                <w:lang w:val="sr-Cyrl-RS"/>
              </w:rPr>
              <w:t>ч</w:t>
            </w:r>
            <w:r w:rsidRPr="009C35B6">
              <w:rPr>
                <w:rFonts w:ascii="Arial" w:eastAsia="Calibri" w:hAnsi="Arial" w:cs="Arial"/>
                <w:color w:val="000000"/>
                <w:lang w:val="ru-RU"/>
              </w:rPr>
              <w:t>ких</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текстова</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из</w:t>
            </w:r>
            <w:r w:rsidRPr="009C35B6">
              <w:rPr>
                <w:rFonts w:ascii="Arial" w:eastAsia="Calibri" w:hAnsi="Arial" w:cs="Arial"/>
                <w:color w:val="000000"/>
                <w:lang w:val="sr-Cyrl-RS"/>
              </w:rPr>
              <w:t xml:space="preserve"> тражене области – НЕМАЧКИ ЈЕЗИК (К2)</w:t>
            </w:r>
          </w:p>
        </w:tc>
        <w:tc>
          <w:tcPr>
            <w:tcW w:w="3067" w:type="dxa"/>
            <w:vAlign w:val="center"/>
          </w:tcPr>
          <w:p w14:paraId="22481558"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b/>
                <w:bCs/>
                <w:color w:val="000000"/>
                <w:kern w:val="3"/>
                <w:lang w:val="sr-Cyrl-RS" w:eastAsia="zh-CN" w:bidi="hi-IN"/>
              </w:rPr>
              <w:t>Број пондера</w:t>
            </w:r>
          </w:p>
        </w:tc>
      </w:tr>
      <w:tr w:rsidR="009C35B6" w:rsidRPr="009C35B6" w14:paraId="5F5A6F98" w14:textId="77777777" w:rsidTr="0049567C">
        <w:trPr>
          <w:trHeight w:val="41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8313C83"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преводилаца</w:t>
            </w:r>
          </w:p>
        </w:tc>
        <w:tc>
          <w:tcPr>
            <w:tcW w:w="3067" w:type="dxa"/>
            <w:vAlign w:val="center"/>
          </w:tcPr>
          <w:p w14:paraId="33EB2796"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пондера</w:t>
            </w:r>
          </w:p>
        </w:tc>
      </w:tr>
      <w:tr w:rsidR="009C35B6" w:rsidRPr="009C35B6" w14:paraId="20E155AE" w14:textId="77777777" w:rsidTr="009C35B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B780CB6"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1 преводилац</w:t>
            </w:r>
          </w:p>
        </w:tc>
        <w:tc>
          <w:tcPr>
            <w:tcW w:w="3067" w:type="dxa"/>
            <w:vAlign w:val="center"/>
          </w:tcPr>
          <w:p w14:paraId="378C6A93"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4 пондера</w:t>
            </w:r>
          </w:p>
        </w:tc>
      </w:tr>
      <w:tr w:rsidR="009C35B6" w:rsidRPr="009C35B6" w14:paraId="6F41E71C" w14:textId="77777777" w:rsidTr="0049567C">
        <w:trPr>
          <w:trHeight w:val="423"/>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FA0CA9A"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2 преводиоца</w:t>
            </w:r>
          </w:p>
        </w:tc>
        <w:tc>
          <w:tcPr>
            <w:tcW w:w="3067" w:type="dxa"/>
            <w:vAlign w:val="center"/>
          </w:tcPr>
          <w:p w14:paraId="56896058"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6 пондера</w:t>
            </w:r>
          </w:p>
        </w:tc>
      </w:tr>
      <w:tr w:rsidR="009C35B6" w:rsidRPr="009C35B6" w14:paraId="7407FD15" w14:textId="77777777" w:rsidTr="009C35B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E4C0087"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3 преводиоца</w:t>
            </w:r>
          </w:p>
        </w:tc>
        <w:tc>
          <w:tcPr>
            <w:tcW w:w="3067" w:type="dxa"/>
            <w:vAlign w:val="center"/>
          </w:tcPr>
          <w:p w14:paraId="54BD0F7C"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10 пондера</w:t>
            </w:r>
          </w:p>
        </w:tc>
      </w:tr>
      <w:tr w:rsidR="009C35B6" w:rsidRPr="009C35B6" w14:paraId="421F9695" w14:textId="77777777" w:rsidTr="0049567C">
        <w:trPr>
          <w:trHeight w:val="415"/>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1850430"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Максималан број пондера К2</w:t>
            </w:r>
          </w:p>
        </w:tc>
        <w:tc>
          <w:tcPr>
            <w:tcW w:w="3067" w:type="dxa"/>
            <w:vAlign w:val="center"/>
          </w:tcPr>
          <w:p w14:paraId="16FEA57E"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SimSun" w:hAnsi="Arial" w:cs="Arial"/>
                <w:b/>
                <w:bCs/>
                <w:color w:val="000000"/>
                <w:kern w:val="3"/>
                <w:lang w:val="sr-Cyrl-RS" w:eastAsia="zh-CN" w:bidi="hi-IN"/>
              </w:rPr>
              <w:t>10 пондера</w:t>
            </w:r>
          </w:p>
        </w:tc>
      </w:tr>
      <w:tr w:rsidR="009C35B6" w:rsidRPr="009C35B6" w14:paraId="3769270E" w14:textId="77777777" w:rsidTr="009C35B6">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0E0BABA"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 xml:space="preserve">Број ангажованих преводилаца са искуством у превођењу </w:t>
            </w:r>
            <w:r w:rsidRPr="009C35B6">
              <w:rPr>
                <w:rFonts w:ascii="Arial" w:eastAsia="Calibri" w:hAnsi="Arial" w:cs="Arial"/>
                <w:color w:val="000000"/>
                <w:lang w:val="ru-RU"/>
              </w:rPr>
              <w:t>нау</w:t>
            </w:r>
            <w:r w:rsidRPr="009C35B6">
              <w:rPr>
                <w:rFonts w:ascii="Arial" w:eastAsia="Calibri" w:hAnsi="Arial" w:cs="Arial"/>
                <w:color w:val="000000"/>
                <w:lang w:val="sr-Cyrl-RS"/>
              </w:rPr>
              <w:t>ч</w:t>
            </w:r>
            <w:r w:rsidRPr="009C35B6">
              <w:rPr>
                <w:rFonts w:ascii="Arial" w:eastAsia="Calibri" w:hAnsi="Arial" w:cs="Arial"/>
                <w:color w:val="000000"/>
                <w:lang w:val="ru-RU"/>
              </w:rPr>
              <w:t>но</w:t>
            </w:r>
            <w:r w:rsidRPr="009C35B6">
              <w:rPr>
                <w:rFonts w:ascii="Arial" w:eastAsia="Calibri" w:hAnsi="Arial" w:cs="Arial"/>
                <w:color w:val="000000"/>
                <w:lang w:val="sr-Cyrl-RS"/>
              </w:rPr>
              <w:t>-</w:t>
            </w:r>
            <w:r w:rsidRPr="009C35B6">
              <w:rPr>
                <w:rFonts w:ascii="Arial" w:eastAsia="Calibri" w:hAnsi="Arial" w:cs="Arial"/>
                <w:color w:val="000000"/>
                <w:lang w:val="ru-RU"/>
              </w:rPr>
              <w:t>истра</w:t>
            </w:r>
            <w:r w:rsidRPr="009C35B6">
              <w:rPr>
                <w:rFonts w:ascii="Arial" w:eastAsia="Calibri" w:hAnsi="Arial" w:cs="Arial"/>
                <w:color w:val="000000"/>
                <w:lang w:val="sr-Cyrl-RS"/>
              </w:rPr>
              <w:t>ж</w:t>
            </w:r>
            <w:r w:rsidRPr="009C35B6">
              <w:rPr>
                <w:rFonts w:ascii="Arial" w:eastAsia="Calibri" w:hAnsi="Arial" w:cs="Arial"/>
                <w:color w:val="000000"/>
                <w:lang w:val="ru-RU"/>
              </w:rPr>
              <w:t>ива</w:t>
            </w:r>
            <w:r w:rsidRPr="009C35B6">
              <w:rPr>
                <w:rFonts w:ascii="Arial" w:eastAsia="Calibri" w:hAnsi="Arial" w:cs="Arial"/>
                <w:color w:val="000000"/>
                <w:lang w:val="sr-Cyrl-RS"/>
              </w:rPr>
              <w:t>ч</w:t>
            </w:r>
            <w:r w:rsidRPr="009C35B6">
              <w:rPr>
                <w:rFonts w:ascii="Arial" w:eastAsia="Calibri" w:hAnsi="Arial" w:cs="Arial"/>
                <w:color w:val="000000"/>
                <w:lang w:val="ru-RU"/>
              </w:rPr>
              <w:t>ких</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текстова</w:t>
            </w:r>
            <w:r w:rsidRPr="009C35B6">
              <w:rPr>
                <w:rFonts w:ascii="Arial" w:eastAsia="Calibri" w:hAnsi="Arial" w:cs="Arial"/>
                <w:color w:val="000000"/>
                <w:lang w:val="sr-Cyrl-RS"/>
              </w:rPr>
              <w:t xml:space="preserve"> </w:t>
            </w:r>
            <w:r w:rsidRPr="009C35B6">
              <w:rPr>
                <w:rFonts w:ascii="Arial" w:eastAsia="Calibri" w:hAnsi="Arial" w:cs="Arial"/>
                <w:color w:val="000000"/>
                <w:lang w:val="ru-RU"/>
              </w:rPr>
              <w:t>из</w:t>
            </w:r>
            <w:r w:rsidRPr="009C35B6">
              <w:rPr>
                <w:rFonts w:ascii="Arial" w:eastAsia="Calibri" w:hAnsi="Arial" w:cs="Arial"/>
                <w:color w:val="000000"/>
                <w:lang w:val="sr-Cyrl-RS"/>
              </w:rPr>
              <w:t xml:space="preserve"> тражене области – ФРАНЦУСКИ ЈЕЗИК (К3)</w:t>
            </w:r>
          </w:p>
        </w:tc>
        <w:tc>
          <w:tcPr>
            <w:tcW w:w="3067" w:type="dxa"/>
            <w:vAlign w:val="center"/>
          </w:tcPr>
          <w:p w14:paraId="5868614A"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b/>
                <w:bCs/>
                <w:color w:val="000000"/>
                <w:kern w:val="3"/>
                <w:lang w:val="sr-Cyrl-RS" w:eastAsia="zh-CN" w:bidi="hi-IN"/>
              </w:rPr>
              <w:t>Број пондера</w:t>
            </w:r>
          </w:p>
        </w:tc>
      </w:tr>
      <w:tr w:rsidR="009C35B6" w:rsidRPr="009C35B6" w14:paraId="4CE6C62B" w14:textId="77777777" w:rsidTr="0049567C">
        <w:trPr>
          <w:trHeight w:val="548"/>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80C0F63"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0 преводилаца</w:t>
            </w:r>
          </w:p>
        </w:tc>
        <w:tc>
          <w:tcPr>
            <w:tcW w:w="3067" w:type="dxa"/>
            <w:vAlign w:val="center"/>
          </w:tcPr>
          <w:p w14:paraId="61B737DB"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color w:val="000000"/>
                <w:kern w:val="3"/>
                <w:lang w:val="sr-Cyrl-RS" w:eastAsia="zh-CN" w:bidi="hi-IN"/>
              </w:rPr>
              <w:t>0 пондера</w:t>
            </w:r>
          </w:p>
        </w:tc>
      </w:tr>
      <w:tr w:rsidR="009C35B6" w:rsidRPr="009C35B6" w14:paraId="6D250190" w14:textId="77777777" w:rsidTr="009C35B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C4D31E4"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Calibri" w:hAnsi="Arial" w:cs="Arial"/>
                <w:color w:val="000000"/>
              </w:rPr>
              <w:t xml:space="preserve">1 </w:t>
            </w:r>
            <w:proofErr w:type="spellStart"/>
            <w:r w:rsidRPr="009C35B6">
              <w:rPr>
                <w:rFonts w:ascii="Arial" w:eastAsia="Calibri" w:hAnsi="Arial" w:cs="Arial"/>
                <w:color w:val="000000"/>
              </w:rPr>
              <w:t>преводилац</w:t>
            </w:r>
            <w:proofErr w:type="spellEnd"/>
          </w:p>
        </w:tc>
        <w:tc>
          <w:tcPr>
            <w:tcW w:w="3067" w:type="dxa"/>
            <w:vAlign w:val="center"/>
          </w:tcPr>
          <w:p w14:paraId="487FE29A"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Calibri" w:hAnsi="Arial" w:cs="Arial"/>
                <w:color w:val="000000"/>
              </w:rPr>
              <w:t xml:space="preserve">4 </w:t>
            </w:r>
            <w:proofErr w:type="spellStart"/>
            <w:r w:rsidRPr="009C35B6">
              <w:rPr>
                <w:rFonts w:ascii="Arial" w:eastAsia="Calibri" w:hAnsi="Arial" w:cs="Arial"/>
                <w:color w:val="000000"/>
              </w:rPr>
              <w:t>пондера</w:t>
            </w:r>
            <w:proofErr w:type="spellEnd"/>
          </w:p>
        </w:tc>
      </w:tr>
      <w:tr w:rsidR="009C35B6" w:rsidRPr="009C35B6" w14:paraId="2AEB4992" w14:textId="77777777" w:rsidTr="0049567C">
        <w:trPr>
          <w:trHeight w:val="56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3FB9E66D" w14:textId="77777777" w:rsidR="009C35B6" w:rsidRPr="009C35B6" w:rsidRDefault="009C35B6" w:rsidP="009C35B6">
            <w:pPr>
              <w:suppressAutoHyphens/>
              <w:spacing w:line="276" w:lineRule="auto"/>
              <w:jc w:val="center"/>
              <w:textAlignment w:val="baseline"/>
              <w:rPr>
                <w:rFonts w:ascii="Arial" w:eastAsia="Calibri" w:hAnsi="Arial" w:cs="Arial"/>
                <w:color w:val="000000"/>
                <w:lang w:val="sr-Cyrl-RS"/>
              </w:rPr>
            </w:pPr>
            <w:r w:rsidRPr="009C35B6">
              <w:rPr>
                <w:rFonts w:ascii="Arial" w:eastAsia="Calibri" w:hAnsi="Arial" w:cs="Arial"/>
                <w:color w:val="000000"/>
              </w:rPr>
              <w:t xml:space="preserve">2 </w:t>
            </w:r>
            <w:proofErr w:type="spellStart"/>
            <w:r w:rsidRPr="009C35B6">
              <w:rPr>
                <w:rFonts w:ascii="Arial" w:eastAsia="Calibri" w:hAnsi="Arial" w:cs="Arial"/>
                <w:color w:val="000000"/>
              </w:rPr>
              <w:t>преводиоца</w:t>
            </w:r>
            <w:proofErr w:type="spellEnd"/>
          </w:p>
        </w:tc>
        <w:tc>
          <w:tcPr>
            <w:tcW w:w="3067" w:type="dxa"/>
            <w:vAlign w:val="center"/>
          </w:tcPr>
          <w:p w14:paraId="59C9B9D7"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Calibri" w:hAnsi="Arial" w:cs="Arial"/>
                <w:color w:val="000000"/>
                <w:lang w:val="sr-Cyrl-RS"/>
              </w:rPr>
              <w:t>6</w:t>
            </w:r>
            <w:r w:rsidRPr="009C35B6">
              <w:rPr>
                <w:rFonts w:ascii="Arial" w:eastAsia="Calibri" w:hAnsi="Arial" w:cs="Arial"/>
                <w:color w:val="000000"/>
              </w:rPr>
              <w:t xml:space="preserve"> </w:t>
            </w:r>
            <w:proofErr w:type="spellStart"/>
            <w:r w:rsidRPr="009C35B6">
              <w:rPr>
                <w:rFonts w:ascii="Arial" w:eastAsia="Calibri" w:hAnsi="Arial" w:cs="Arial"/>
                <w:color w:val="000000"/>
              </w:rPr>
              <w:t>пондера</w:t>
            </w:r>
            <w:proofErr w:type="spellEnd"/>
          </w:p>
        </w:tc>
      </w:tr>
      <w:tr w:rsidR="009C35B6" w:rsidRPr="009C35B6" w14:paraId="4117A56C" w14:textId="77777777" w:rsidTr="009C35B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F721F10"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Calibri" w:hAnsi="Arial" w:cs="Arial"/>
                <w:color w:val="000000"/>
              </w:rPr>
              <w:t xml:space="preserve">3 </w:t>
            </w:r>
            <w:proofErr w:type="spellStart"/>
            <w:r w:rsidRPr="009C35B6">
              <w:rPr>
                <w:rFonts w:ascii="Arial" w:eastAsia="Calibri" w:hAnsi="Arial" w:cs="Arial"/>
                <w:color w:val="000000"/>
              </w:rPr>
              <w:t>преводиоца</w:t>
            </w:r>
            <w:proofErr w:type="spellEnd"/>
          </w:p>
        </w:tc>
        <w:tc>
          <w:tcPr>
            <w:tcW w:w="3067" w:type="dxa"/>
            <w:vAlign w:val="center"/>
          </w:tcPr>
          <w:p w14:paraId="781E650D"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lang w:val="sr-Cyrl-RS" w:eastAsia="zh-CN" w:bidi="hi-IN"/>
              </w:rPr>
            </w:pPr>
            <w:r w:rsidRPr="009C35B6">
              <w:rPr>
                <w:rFonts w:ascii="Arial" w:eastAsia="Calibri" w:hAnsi="Arial" w:cs="Arial"/>
                <w:color w:val="000000"/>
              </w:rPr>
              <w:t xml:space="preserve">10 </w:t>
            </w:r>
            <w:proofErr w:type="spellStart"/>
            <w:r w:rsidRPr="009C35B6">
              <w:rPr>
                <w:rFonts w:ascii="Arial" w:eastAsia="Calibri" w:hAnsi="Arial" w:cs="Arial"/>
                <w:color w:val="000000"/>
              </w:rPr>
              <w:t>пондера</w:t>
            </w:r>
            <w:proofErr w:type="spellEnd"/>
          </w:p>
        </w:tc>
      </w:tr>
      <w:tr w:rsidR="009C35B6" w:rsidRPr="009C35B6" w14:paraId="7C48452C" w14:textId="77777777" w:rsidTr="0049567C">
        <w:trPr>
          <w:trHeight w:val="572"/>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3320A42" w14:textId="77777777" w:rsidR="009C35B6" w:rsidRPr="009C35B6" w:rsidRDefault="009C35B6" w:rsidP="009C35B6">
            <w:pPr>
              <w:suppressAutoHyphens/>
              <w:spacing w:line="276" w:lineRule="auto"/>
              <w:jc w:val="center"/>
              <w:textAlignment w:val="baseline"/>
              <w:rPr>
                <w:rFonts w:ascii="Arial" w:eastAsia="Calibri" w:hAnsi="Arial" w:cs="Arial"/>
                <w:color w:val="000000"/>
              </w:rPr>
            </w:pPr>
            <w:r w:rsidRPr="009C35B6">
              <w:rPr>
                <w:rFonts w:ascii="Arial" w:eastAsia="SimSun" w:hAnsi="Arial" w:cs="Arial"/>
                <w:color w:val="000000"/>
                <w:kern w:val="3"/>
                <w:lang w:val="sr-Cyrl-RS" w:eastAsia="zh-CN" w:bidi="hi-IN"/>
              </w:rPr>
              <w:t>Максималан број пондера К3</w:t>
            </w:r>
          </w:p>
        </w:tc>
        <w:tc>
          <w:tcPr>
            <w:tcW w:w="3067" w:type="dxa"/>
            <w:vAlign w:val="center"/>
          </w:tcPr>
          <w:p w14:paraId="71C060A3" w14:textId="7777777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9C35B6">
              <w:rPr>
                <w:rFonts w:ascii="Arial" w:eastAsia="SimSun" w:hAnsi="Arial" w:cs="Arial"/>
                <w:b/>
                <w:bCs/>
                <w:color w:val="000000"/>
                <w:kern w:val="3"/>
                <w:lang w:val="sr-Cyrl-RS" w:eastAsia="zh-CN" w:bidi="hi-IN"/>
              </w:rPr>
              <w:t>10 пондера</w:t>
            </w:r>
          </w:p>
        </w:tc>
      </w:tr>
      <w:tr w:rsidR="009C35B6" w:rsidRPr="009C35B6" w14:paraId="16C22A3A" w14:textId="77777777" w:rsidTr="009C35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B92A1D7" w14:textId="77777777" w:rsidR="009C35B6" w:rsidRPr="009C35B6" w:rsidRDefault="009C35B6" w:rsidP="009C35B6">
            <w:pPr>
              <w:suppressAutoHyphens/>
              <w:spacing w:line="276" w:lineRule="auto"/>
              <w:jc w:val="center"/>
              <w:textAlignment w:val="baseline"/>
              <w:rPr>
                <w:rFonts w:ascii="Arial" w:eastAsia="SimSun" w:hAnsi="Arial" w:cs="Arial"/>
                <w:color w:val="000000"/>
                <w:kern w:val="3"/>
                <w:lang w:val="sr-Cyrl-RS" w:eastAsia="zh-CN" w:bidi="hi-IN"/>
              </w:rPr>
            </w:pPr>
            <w:r w:rsidRPr="009C35B6">
              <w:rPr>
                <w:rFonts w:ascii="Arial" w:eastAsia="SimSun" w:hAnsi="Arial" w:cs="Arial"/>
                <w:color w:val="000000"/>
                <w:kern w:val="3"/>
                <w:lang w:val="sr-Cyrl-RS" w:eastAsia="zh-CN" w:bidi="hi-IN"/>
              </w:rPr>
              <w:t>Максималан број пондера за критеријум К (К1+К2+К3)</w:t>
            </w:r>
          </w:p>
        </w:tc>
        <w:tc>
          <w:tcPr>
            <w:tcW w:w="3067" w:type="dxa"/>
            <w:vAlign w:val="center"/>
          </w:tcPr>
          <w:p w14:paraId="4357B4DC" w14:textId="7777777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lang w:val="sr-Cyrl-RS" w:eastAsia="zh-CN" w:bidi="hi-IN"/>
              </w:rPr>
            </w:pPr>
            <w:r w:rsidRPr="009C35B6">
              <w:rPr>
                <w:rFonts w:ascii="Arial" w:eastAsia="SimSun" w:hAnsi="Arial" w:cs="Arial"/>
                <w:b/>
                <w:bCs/>
                <w:color w:val="000000"/>
                <w:kern w:val="3"/>
                <w:lang w:val="sr-Cyrl-RS" w:eastAsia="zh-CN" w:bidi="hi-IN"/>
              </w:rPr>
              <w:t>30 пондера</w:t>
            </w:r>
          </w:p>
        </w:tc>
      </w:tr>
    </w:tbl>
    <w:p w14:paraId="31DA9F6E"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2B2306D2" w14:textId="77777777" w:rsidR="009C35B6" w:rsidRPr="009C35B6" w:rsidRDefault="009C35B6" w:rsidP="009C35B6">
      <w:pPr>
        <w:tabs>
          <w:tab w:val="left" w:pos="567"/>
        </w:tabs>
        <w:spacing w:after="160" w:line="276" w:lineRule="auto"/>
        <w:jc w:val="center"/>
        <w:rPr>
          <w:rFonts w:ascii="Arial" w:eastAsia="Calibri" w:hAnsi="Arial" w:cs="Arial"/>
          <w:b/>
          <w:bCs/>
          <w:kern w:val="2"/>
          <w:u w:val="single"/>
          <w:lang w:val="sr-Cyrl-RS"/>
          <w14:ligatures w14:val="standardContextual"/>
        </w:rPr>
      </w:pPr>
      <w:r w:rsidRPr="009C35B6">
        <w:rPr>
          <w:rFonts w:ascii="Arial" w:eastAsia="Calibri" w:hAnsi="Arial" w:cs="Arial"/>
          <w:b/>
          <w:bCs/>
          <w:kern w:val="2"/>
          <w:lang w:val="sr-Cyrl-RS"/>
          <w14:ligatures w14:val="standardContextual"/>
        </w:rPr>
        <w:t>Укупан број пондера рачуна се према формули:</w:t>
      </w:r>
    </w:p>
    <w:p w14:paraId="79C9612E" w14:textId="77777777" w:rsidR="009C35B6" w:rsidRPr="009C35B6" w:rsidRDefault="009C35B6" w:rsidP="009C35B6">
      <w:pPr>
        <w:tabs>
          <w:tab w:val="left" w:pos="567"/>
        </w:tabs>
        <w:spacing w:after="160" w:line="276" w:lineRule="auto"/>
        <w:jc w:val="center"/>
        <w:rPr>
          <w:rFonts w:ascii="Arial" w:eastAsia="Calibri" w:hAnsi="Arial" w:cs="Arial"/>
          <w:b/>
          <w:bCs/>
          <w:kern w:val="2"/>
          <w:lang w:val="sr-Cyrl-RS"/>
          <w14:ligatures w14:val="standardContextual"/>
        </w:rPr>
      </w:pPr>
      <w:r w:rsidRPr="009C35B6">
        <w:rPr>
          <w:rFonts w:ascii="Arial" w:eastAsia="Calibri" w:hAnsi="Arial" w:cs="Arial"/>
          <w:b/>
          <w:bCs/>
          <w:kern w:val="2"/>
          <w:lang w:val="sr-Cyrl-RS"/>
          <w14:ligatures w14:val="standardContextual"/>
        </w:rPr>
        <w:t>ЕНП = Ц + К</w:t>
      </w:r>
    </w:p>
    <w:p w14:paraId="3DA21912"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14:paraId="44C02F79" w14:textId="77777777" w:rsidTr="009C35B6">
        <w:trPr>
          <w:trHeight w:val="2912"/>
        </w:trPr>
        <w:tc>
          <w:tcPr>
            <w:tcW w:w="9016" w:type="dxa"/>
            <w:shd w:val="clear" w:color="auto" w:fill="B6E1E7"/>
          </w:tcPr>
          <w:p w14:paraId="0EA8AF05" w14:textId="77777777" w:rsidR="009C35B6" w:rsidRPr="009C35B6" w:rsidRDefault="009C35B6" w:rsidP="009C35B6">
            <w:pPr>
              <w:tabs>
                <w:tab w:val="left" w:pos="567"/>
              </w:tabs>
              <w:spacing w:before="240" w:line="276" w:lineRule="auto"/>
              <w:jc w:val="center"/>
              <w:rPr>
                <w:rFonts w:ascii="Arial" w:eastAsia="Calibri" w:hAnsi="Arial" w:cs="Arial"/>
                <w:b/>
                <w:bCs/>
                <w:lang w:val="sr-Cyrl-RS"/>
              </w:rPr>
            </w:pPr>
            <w:r w:rsidRPr="009C35B6">
              <w:rPr>
                <w:rFonts w:ascii="Arial" w:eastAsia="Calibri" w:hAnsi="Arial" w:cs="Arial"/>
                <w:b/>
                <w:bCs/>
                <w:noProof/>
              </w:rPr>
              <w:lastRenderedPageBreak/>
              <mc:AlternateContent>
                <mc:Choice Requires="wps">
                  <w:drawing>
                    <wp:anchor distT="0" distB="0" distL="114300" distR="114300" simplePos="0" relativeHeight="251669504" behindDoc="0" locked="0" layoutInCell="1" allowOverlap="1" wp14:anchorId="3EC03F34" wp14:editId="70457C90">
                      <wp:simplePos x="0" y="0"/>
                      <wp:positionH relativeFrom="column">
                        <wp:posOffset>149225</wp:posOffset>
                      </wp:positionH>
                      <wp:positionV relativeFrom="paragraph">
                        <wp:posOffset>66675</wp:posOffset>
                      </wp:positionV>
                      <wp:extent cx="495300" cy="323850"/>
                      <wp:effectExtent l="0" t="19050" r="38100" b="38100"/>
                      <wp:wrapNone/>
                      <wp:docPr id="1646713224"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36AA5" id="Arrow: Right 7" o:spid="_x0000_s1026" type="#_x0000_t13" style="position:absolute;margin-left:11.75pt;margin-top:5.25pt;width:39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sidRPr="009C35B6">
              <w:rPr>
                <w:rFonts w:ascii="Arial" w:eastAsia="Calibri" w:hAnsi="Arial" w:cs="Arial"/>
                <w:b/>
                <w:bCs/>
                <w:lang w:val="sr-Cyrl-RS"/>
              </w:rPr>
              <w:t>Начин доказивања овог критеријума:</w:t>
            </w:r>
          </w:p>
          <w:p w14:paraId="784F005F" w14:textId="77777777" w:rsidR="009C35B6" w:rsidRPr="009C35B6" w:rsidRDefault="009C35B6" w:rsidP="009C35B6">
            <w:pPr>
              <w:tabs>
                <w:tab w:val="left" w:pos="567"/>
              </w:tabs>
              <w:spacing w:line="276" w:lineRule="auto"/>
              <w:jc w:val="both"/>
              <w:rPr>
                <w:rFonts w:ascii="Arial" w:eastAsia="Calibri" w:hAnsi="Arial" w:cs="Arial"/>
                <w:lang w:val="sr-Cyrl-RS"/>
              </w:rPr>
            </w:pPr>
          </w:p>
          <w:p w14:paraId="09CE2723" w14:textId="77777777" w:rsidR="009C35B6" w:rsidRPr="009C35B6" w:rsidRDefault="009C35B6" w:rsidP="009C35B6">
            <w:pPr>
              <w:tabs>
                <w:tab w:val="left" w:pos="567"/>
              </w:tabs>
              <w:spacing w:line="276" w:lineRule="auto"/>
              <w:jc w:val="both"/>
              <w:rPr>
                <w:rFonts w:ascii="Arial" w:eastAsia="Calibri" w:hAnsi="Arial" w:cs="Arial"/>
                <w:lang w:val="sr-Cyrl-RS"/>
              </w:rPr>
            </w:pPr>
            <w:r w:rsidRPr="009C35B6">
              <w:rPr>
                <w:rFonts w:ascii="Arial" w:eastAsia="Calibri" w:hAnsi="Arial" w:cs="Arial"/>
                <w:lang w:val="sr-Cyrl-RS"/>
              </w:rPr>
              <w:t>У циљу оцењивања понуда по основу овог критеријума, понуђачи, поред тога што у обрасцу понуде наводе име и презиме радно ангажованог лица, као и податак да ли лице има тражено искуство, уз понуду достављају уговор о радном ангажовању лица код понуђача, као и доказе којима се потврђују тражене квалификације у оквиру критеријума за доделу уговора (на пример, потврде послодавца о стеченом искуству и др)</w:t>
            </w:r>
          </w:p>
        </w:tc>
      </w:tr>
    </w:tbl>
    <w:p w14:paraId="1BEA12EB"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7DE492AA"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44DB8708"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34D820BD"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626CBC8A"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0089D7B9"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432582AA"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11127EEA"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0D9B9D12" w14:textId="59B5EBDC" w:rsidR="009C35B6" w:rsidRDefault="009C35B6" w:rsidP="009C35B6">
      <w:pPr>
        <w:spacing w:line="276" w:lineRule="auto"/>
        <w:jc w:val="both"/>
        <w:rPr>
          <w:rFonts w:ascii="Arial" w:eastAsia="Calibri" w:hAnsi="Arial" w:cs="Arial"/>
          <w:kern w:val="2"/>
          <w:lang w:val="sr-Cyrl-RS"/>
          <w14:ligatures w14:val="standardContextual"/>
        </w:rPr>
      </w:pPr>
    </w:p>
    <w:p w14:paraId="33264EE2" w14:textId="5FAD0685" w:rsidR="00B11E1C" w:rsidRDefault="00B11E1C" w:rsidP="009C35B6">
      <w:pPr>
        <w:spacing w:line="276" w:lineRule="auto"/>
        <w:jc w:val="both"/>
        <w:rPr>
          <w:rFonts w:ascii="Arial" w:eastAsia="Calibri" w:hAnsi="Arial" w:cs="Arial"/>
          <w:kern w:val="2"/>
          <w:lang w:val="sr-Cyrl-RS"/>
          <w14:ligatures w14:val="standardContextual"/>
        </w:rPr>
      </w:pPr>
    </w:p>
    <w:p w14:paraId="0BE01508" w14:textId="2E9378EC" w:rsidR="00B11E1C" w:rsidRDefault="00B11E1C" w:rsidP="009C35B6">
      <w:pPr>
        <w:spacing w:line="276" w:lineRule="auto"/>
        <w:jc w:val="both"/>
        <w:rPr>
          <w:rFonts w:ascii="Arial" w:eastAsia="Calibri" w:hAnsi="Arial" w:cs="Arial"/>
          <w:kern w:val="2"/>
          <w:lang w:val="sr-Cyrl-RS"/>
          <w14:ligatures w14:val="standardContextual"/>
        </w:rPr>
      </w:pPr>
    </w:p>
    <w:p w14:paraId="6A92C53B" w14:textId="1BA55DEC" w:rsidR="00B11E1C" w:rsidRDefault="00B11E1C" w:rsidP="009C35B6">
      <w:pPr>
        <w:spacing w:line="276" w:lineRule="auto"/>
        <w:jc w:val="both"/>
        <w:rPr>
          <w:rFonts w:ascii="Arial" w:eastAsia="Calibri" w:hAnsi="Arial" w:cs="Arial"/>
          <w:kern w:val="2"/>
          <w:lang w:val="sr-Cyrl-RS"/>
          <w14:ligatures w14:val="standardContextual"/>
        </w:rPr>
      </w:pPr>
    </w:p>
    <w:p w14:paraId="3210F962" w14:textId="503BE57D" w:rsidR="00B11E1C" w:rsidRDefault="00B11E1C" w:rsidP="009C35B6">
      <w:pPr>
        <w:spacing w:line="276" w:lineRule="auto"/>
        <w:jc w:val="both"/>
        <w:rPr>
          <w:rFonts w:ascii="Arial" w:eastAsia="Calibri" w:hAnsi="Arial" w:cs="Arial"/>
          <w:kern w:val="2"/>
          <w:lang w:val="sr-Cyrl-RS"/>
          <w14:ligatures w14:val="standardContextual"/>
        </w:rPr>
      </w:pPr>
    </w:p>
    <w:p w14:paraId="24DFD1CA" w14:textId="39800302" w:rsidR="00B11E1C" w:rsidRDefault="00B11E1C" w:rsidP="009C35B6">
      <w:pPr>
        <w:spacing w:line="276" w:lineRule="auto"/>
        <w:jc w:val="both"/>
        <w:rPr>
          <w:rFonts w:ascii="Arial" w:eastAsia="Calibri" w:hAnsi="Arial" w:cs="Arial"/>
          <w:kern w:val="2"/>
          <w:lang w:val="sr-Cyrl-RS"/>
          <w14:ligatures w14:val="standardContextual"/>
        </w:rPr>
      </w:pPr>
    </w:p>
    <w:p w14:paraId="7F002848" w14:textId="44165A14" w:rsidR="00B11E1C" w:rsidRDefault="00B11E1C" w:rsidP="009C35B6">
      <w:pPr>
        <w:spacing w:line="276" w:lineRule="auto"/>
        <w:jc w:val="both"/>
        <w:rPr>
          <w:rFonts w:ascii="Arial" w:eastAsia="Calibri" w:hAnsi="Arial" w:cs="Arial"/>
          <w:kern w:val="2"/>
          <w:lang w:val="sr-Cyrl-RS"/>
          <w14:ligatures w14:val="standardContextual"/>
        </w:rPr>
      </w:pPr>
    </w:p>
    <w:p w14:paraId="288A77ED" w14:textId="63277D96" w:rsidR="00B11E1C" w:rsidRDefault="00B11E1C" w:rsidP="009C35B6">
      <w:pPr>
        <w:spacing w:line="276" w:lineRule="auto"/>
        <w:jc w:val="both"/>
        <w:rPr>
          <w:rFonts w:ascii="Arial" w:eastAsia="Calibri" w:hAnsi="Arial" w:cs="Arial"/>
          <w:kern w:val="2"/>
          <w:lang w:val="sr-Cyrl-RS"/>
          <w14:ligatures w14:val="standardContextual"/>
        </w:rPr>
      </w:pPr>
    </w:p>
    <w:p w14:paraId="7D09D00F" w14:textId="7C7FD737" w:rsidR="00B11E1C" w:rsidRDefault="00B11E1C" w:rsidP="009C35B6">
      <w:pPr>
        <w:spacing w:line="276" w:lineRule="auto"/>
        <w:jc w:val="both"/>
        <w:rPr>
          <w:rFonts w:ascii="Arial" w:eastAsia="Calibri" w:hAnsi="Arial" w:cs="Arial"/>
          <w:kern w:val="2"/>
          <w:lang w:val="sr-Cyrl-RS"/>
          <w14:ligatures w14:val="standardContextual"/>
        </w:rPr>
      </w:pPr>
    </w:p>
    <w:p w14:paraId="4F705E47" w14:textId="24DDA907" w:rsidR="00B11E1C" w:rsidRDefault="00B11E1C" w:rsidP="009C35B6">
      <w:pPr>
        <w:spacing w:line="276" w:lineRule="auto"/>
        <w:jc w:val="both"/>
        <w:rPr>
          <w:rFonts w:ascii="Arial" w:eastAsia="Calibri" w:hAnsi="Arial" w:cs="Arial"/>
          <w:kern w:val="2"/>
          <w:lang w:val="sr-Cyrl-RS"/>
          <w14:ligatures w14:val="standardContextual"/>
        </w:rPr>
      </w:pPr>
    </w:p>
    <w:p w14:paraId="66AA4636" w14:textId="2D546933" w:rsidR="00B11E1C" w:rsidRDefault="00B11E1C" w:rsidP="009C35B6">
      <w:pPr>
        <w:spacing w:line="276" w:lineRule="auto"/>
        <w:jc w:val="both"/>
        <w:rPr>
          <w:rFonts w:ascii="Arial" w:eastAsia="Calibri" w:hAnsi="Arial" w:cs="Arial"/>
          <w:kern w:val="2"/>
          <w:lang w:val="sr-Cyrl-RS"/>
          <w14:ligatures w14:val="standardContextual"/>
        </w:rPr>
      </w:pPr>
    </w:p>
    <w:p w14:paraId="1A548C5E" w14:textId="3899A686" w:rsidR="00B11E1C" w:rsidRDefault="00B11E1C" w:rsidP="009C35B6">
      <w:pPr>
        <w:spacing w:line="276" w:lineRule="auto"/>
        <w:jc w:val="both"/>
        <w:rPr>
          <w:rFonts w:ascii="Arial" w:eastAsia="Calibri" w:hAnsi="Arial" w:cs="Arial"/>
          <w:kern w:val="2"/>
          <w:lang w:val="sr-Cyrl-RS"/>
          <w14:ligatures w14:val="standardContextual"/>
        </w:rPr>
      </w:pPr>
    </w:p>
    <w:p w14:paraId="79963B3E" w14:textId="136BAE31" w:rsidR="00B11E1C" w:rsidRDefault="00B11E1C" w:rsidP="009C35B6">
      <w:pPr>
        <w:spacing w:line="276" w:lineRule="auto"/>
        <w:jc w:val="both"/>
        <w:rPr>
          <w:rFonts w:ascii="Arial" w:eastAsia="Calibri" w:hAnsi="Arial" w:cs="Arial"/>
          <w:kern w:val="2"/>
          <w:lang w:val="sr-Cyrl-RS"/>
          <w14:ligatures w14:val="standardContextual"/>
        </w:rPr>
      </w:pPr>
    </w:p>
    <w:p w14:paraId="25063A3C" w14:textId="7AF4DE9E" w:rsidR="00B11E1C" w:rsidRDefault="00B11E1C" w:rsidP="009C35B6">
      <w:pPr>
        <w:spacing w:line="276" w:lineRule="auto"/>
        <w:jc w:val="both"/>
        <w:rPr>
          <w:rFonts w:ascii="Arial" w:eastAsia="Calibri" w:hAnsi="Arial" w:cs="Arial"/>
          <w:kern w:val="2"/>
          <w:lang w:val="sr-Cyrl-RS"/>
          <w14:ligatures w14:val="standardContextual"/>
        </w:rPr>
      </w:pPr>
    </w:p>
    <w:p w14:paraId="1F0D56E6" w14:textId="5DCB8700" w:rsidR="00B11E1C" w:rsidRDefault="00B11E1C" w:rsidP="009C35B6">
      <w:pPr>
        <w:spacing w:line="276" w:lineRule="auto"/>
        <w:jc w:val="both"/>
        <w:rPr>
          <w:rFonts w:ascii="Arial" w:eastAsia="Calibri" w:hAnsi="Arial" w:cs="Arial"/>
          <w:kern w:val="2"/>
          <w:lang w:val="sr-Cyrl-RS"/>
          <w14:ligatures w14:val="standardContextual"/>
        </w:rPr>
      </w:pPr>
    </w:p>
    <w:p w14:paraId="6406F5D9" w14:textId="7A12606B" w:rsidR="00B11E1C" w:rsidRDefault="00B11E1C" w:rsidP="009C35B6">
      <w:pPr>
        <w:spacing w:line="276" w:lineRule="auto"/>
        <w:jc w:val="both"/>
        <w:rPr>
          <w:rFonts w:ascii="Arial" w:eastAsia="Calibri" w:hAnsi="Arial" w:cs="Arial"/>
          <w:kern w:val="2"/>
          <w:lang w:val="sr-Cyrl-RS"/>
          <w14:ligatures w14:val="standardContextual"/>
        </w:rPr>
      </w:pPr>
    </w:p>
    <w:p w14:paraId="2E09D9DD" w14:textId="4AF7C9D4" w:rsidR="00B11E1C" w:rsidRDefault="00B11E1C" w:rsidP="009C35B6">
      <w:pPr>
        <w:spacing w:line="276" w:lineRule="auto"/>
        <w:jc w:val="both"/>
        <w:rPr>
          <w:rFonts w:ascii="Arial" w:eastAsia="Calibri" w:hAnsi="Arial" w:cs="Arial"/>
          <w:kern w:val="2"/>
          <w:lang w:val="sr-Cyrl-RS"/>
          <w14:ligatures w14:val="standardContextual"/>
        </w:rPr>
      </w:pPr>
    </w:p>
    <w:p w14:paraId="1F069BFD" w14:textId="5B9B07CF" w:rsidR="00B11E1C" w:rsidRDefault="00B11E1C" w:rsidP="009C35B6">
      <w:pPr>
        <w:spacing w:line="276" w:lineRule="auto"/>
        <w:jc w:val="both"/>
        <w:rPr>
          <w:rFonts w:ascii="Arial" w:eastAsia="Calibri" w:hAnsi="Arial" w:cs="Arial"/>
          <w:kern w:val="2"/>
          <w:lang w:val="sr-Cyrl-RS"/>
          <w14:ligatures w14:val="standardContextual"/>
        </w:rPr>
      </w:pPr>
    </w:p>
    <w:p w14:paraId="6587744D" w14:textId="1885A197" w:rsidR="00B11E1C" w:rsidRDefault="00B11E1C" w:rsidP="009C35B6">
      <w:pPr>
        <w:spacing w:line="276" w:lineRule="auto"/>
        <w:jc w:val="both"/>
        <w:rPr>
          <w:rFonts w:ascii="Arial" w:eastAsia="Calibri" w:hAnsi="Arial" w:cs="Arial"/>
          <w:kern w:val="2"/>
          <w:lang w:val="sr-Cyrl-RS"/>
          <w14:ligatures w14:val="standardContextual"/>
        </w:rPr>
      </w:pPr>
    </w:p>
    <w:p w14:paraId="5994DBBF" w14:textId="3EBF0993" w:rsidR="00B11E1C" w:rsidRDefault="00B11E1C" w:rsidP="009C35B6">
      <w:pPr>
        <w:spacing w:line="276" w:lineRule="auto"/>
        <w:jc w:val="both"/>
        <w:rPr>
          <w:rFonts w:ascii="Arial" w:eastAsia="Calibri" w:hAnsi="Arial" w:cs="Arial"/>
          <w:kern w:val="2"/>
          <w:lang w:val="sr-Cyrl-RS"/>
          <w14:ligatures w14:val="standardContextual"/>
        </w:rPr>
      </w:pPr>
    </w:p>
    <w:p w14:paraId="41DF286A" w14:textId="77777777" w:rsidR="00B11E1C" w:rsidRPr="009C35B6" w:rsidRDefault="00B11E1C" w:rsidP="009C35B6">
      <w:pPr>
        <w:spacing w:line="276" w:lineRule="auto"/>
        <w:jc w:val="both"/>
        <w:rPr>
          <w:rFonts w:ascii="Arial" w:eastAsia="Calibri" w:hAnsi="Arial" w:cs="Arial"/>
          <w:kern w:val="2"/>
          <w:lang w:val="sr-Cyrl-RS"/>
          <w14:ligatures w14:val="standardContextual"/>
        </w:rPr>
      </w:pPr>
    </w:p>
    <w:p w14:paraId="25E568A6"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6CEC691E"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4489824F" w14:textId="000489E9" w:rsidR="009C35B6" w:rsidRDefault="009C35B6" w:rsidP="00696018">
      <w:pPr>
        <w:pStyle w:val="Heading1"/>
        <w:numPr>
          <w:ilvl w:val="0"/>
          <w:numId w:val="5"/>
        </w:numPr>
        <w:jc w:val="center"/>
        <w:rPr>
          <w:rFonts w:eastAsia="Calibri"/>
        </w:rPr>
      </w:pPr>
      <w:bookmarkStart w:id="14" w:name="_Toc184988062"/>
      <w:r w:rsidRPr="009C35B6">
        <w:rPr>
          <w:rFonts w:eastAsia="Calibri"/>
        </w:rPr>
        <w:lastRenderedPageBreak/>
        <w:t>ЗАКЉУЧАК</w:t>
      </w:r>
      <w:bookmarkEnd w:id="14"/>
    </w:p>
    <w:p w14:paraId="24E26FC9" w14:textId="77777777" w:rsidR="0042634A" w:rsidRPr="009C35B6" w:rsidRDefault="0042634A" w:rsidP="0042634A">
      <w:pPr>
        <w:spacing w:after="160" w:line="276" w:lineRule="auto"/>
        <w:ind w:left="720"/>
        <w:contextualSpacing/>
        <w:rPr>
          <w:rFonts w:ascii="Arial" w:eastAsia="Calibri" w:hAnsi="Arial" w:cs="Arial"/>
          <w:b/>
          <w:bCs/>
          <w:kern w:val="2"/>
          <w:lang w:val="sr-Cyrl-RS"/>
          <w14:ligatures w14:val="standardContextual"/>
        </w:rPr>
      </w:pPr>
    </w:p>
    <w:p w14:paraId="6A58E571"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Закон о изменама и допунама Закона о јавним набавкама („Службени гласник РС“, број 92/23), који је у примени од 01. јануара 2024. године, прописао је одређене нове обавезе којих наручиоци треба да се придржавају приликом спровођења поступака јавних набавки. </w:t>
      </w:r>
    </w:p>
    <w:p w14:paraId="6F670A99"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Тако је чланом 132. став 3. ЗЈН прописано да наручиоци, када спроводе поступак јавне набавке за тачно одређене услуге, више неће моћи да користе цену као једини критеријум за доделу уговора, већ морају узети у обзир и критеријум квалитета, односно критеријум трошкова применом приступа трошковне ефикасности. </w:t>
      </w:r>
    </w:p>
    <w:p w14:paraId="5F0E74A9"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На основу статистичких података који су приказани у овој анализи закључује се да је наведено законско решење већ у првој години своје примене допринело знатном повећању броја поступака у којима цена није једини критеријум. </w:t>
      </w:r>
    </w:p>
    <w:p w14:paraId="489E5295"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DD481B">
        <w:rPr>
          <w:rFonts w:ascii="Arial" w:eastAsia="Calibri" w:hAnsi="Arial" w:cs="Arial"/>
          <w:kern w:val="2"/>
          <w:lang w:val="sr-Cyrl-RS"/>
          <w14:ligatures w14:val="standardContextual"/>
        </w:rPr>
        <w:t>Такође, на основу података објављених на Порталу јавних набавки може се закључити да наручиоци и за неке друге предмете набавки (не само за оне за које су у обавези, из члана 132. став 3. ЗЈН) дефинишу критеријум за доделу уговора узимајући у обзир критеријум квалитета (примера ради, у</w:t>
      </w:r>
      <w:r w:rsidRPr="00DD481B">
        <w:rPr>
          <w:rFonts w:ascii="Arial" w:eastAsia="Calibri" w:hAnsi="Arial" w:cs="Arial"/>
          <w:lang w:val="sr-Latn-RS"/>
        </w:rPr>
        <w:t>слуге поправке и одржава</w:t>
      </w:r>
      <w:r w:rsidRPr="00DD481B">
        <w:rPr>
          <w:rFonts w:ascii="Arial" w:eastAsia="Calibri" w:hAnsi="Arial" w:cs="Arial"/>
          <w:lang w:val="sr-Cyrl-RS"/>
        </w:rPr>
        <w:t>њ</w:t>
      </w:r>
      <w:r w:rsidRPr="00DD481B">
        <w:rPr>
          <w:rFonts w:ascii="Arial" w:eastAsia="Calibri" w:hAnsi="Arial" w:cs="Arial"/>
          <w:lang w:val="sr-Latn-RS"/>
        </w:rPr>
        <w:t>а медицинске опреме</w:t>
      </w:r>
      <w:r w:rsidRPr="00DD481B">
        <w:rPr>
          <w:rFonts w:ascii="Arial" w:eastAsia="Calibri" w:hAnsi="Arial" w:cs="Arial"/>
          <w:lang w:val="sr-Cyrl-RS"/>
        </w:rPr>
        <w:t>, одржавање моторних возила, горива и др)</w:t>
      </w:r>
      <w:r w:rsidRPr="00DD481B">
        <w:rPr>
          <w:rFonts w:ascii="Arial" w:eastAsia="Calibri" w:hAnsi="Arial" w:cs="Arial"/>
          <w:kern w:val="2"/>
          <w:lang w:val="sr-Cyrl-RS"/>
          <w14:ligatures w14:val="standardContextual"/>
        </w:rPr>
        <w:t>.</w:t>
      </w:r>
      <w:r w:rsidRPr="009C35B6">
        <w:rPr>
          <w:rFonts w:ascii="Arial" w:eastAsia="Calibri" w:hAnsi="Arial" w:cs="Arial"/>
          <w:kern w:val="2"/>
          <w:lang w:val="sr-Cyrl-RS"/>
          <w14:ligatures w14:val="standardContextual"/>
        </w:rPr>
        <w:t xml:space="preserve"> </w:t>
      </w:r>
    </w:p>
    <w:p w14:paraId="7CD2FA23" w14:textId="10A19018"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Канцеларија за јавне набавке, у циљу пружања стручне помоћи наручиоцима, припремила је и на својој интернет страници објавила моделе конкурсних документација у којима су приказани примери  критеријума за доделу уговора који није заснован само на цени.</w:t>
      </w:r>
      <w:r w:rsidR="00DD481B">
        <w:rPr>
          <w:rStyle w:val="FootnoteReference"/>
          <w:rFonts w:ascii="Arial" w:eastAsia="Calibri" w:hAnsi="Arial" w:cs="Arial"/>
          <w:kern w:val="2"/>
          <w:lang w:val="sr-Cyrl-RS"/>
          <w14:ligatures w14:val="standardContextual"/>
        </w:rPr>
        <w:footnoteReference w:id="6"/>
      </w:r>
      <w:r w:rsidRPr="009C35B6">
        <w:rPr>
          <w:rFonts w:ascii="Arial" w:eastAsia="Calibri" w:hAnsi="Arial" w:cs="Arial"/>
          <w:kern w:val="2"/>
          <w:lang w:val="sr-Cyrl-RS"/>
          <w14:ligatures w14:val="standardContextual"/>
        </w:rPr>
        <w:t xml:space="preserve"> </w:t>
      </w:r>
    </w:p>
    <w:p w14:paraId="44D31304"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DD481B">
        <w:rPr>
          <w:rFonts w:ascii="Arial" w:eastAsia="Calibri" w:hAnsi="Arial" w:cs="Arial"/>
          <w:kern w:val="2"/>
          <w:lang w:val="sr-Cyrl-RS"/>
          <w14:ligatures w14:val="standardContextual"/>
        </w:rPr>
        <w:t>С тим у вези, може се очекивати да ће исто допринети даљем побољшању статистичких података када је реч о примени врсте критеријума за доделу уговора.</w:t>
      </w:r>
    </w:p>
    <w:p w14:paraId="708D557E" w14:textId="77777777" w:rsidR="009C35B6" w:rsidRPr="009C35B6" w:rsidRDefault="009C35B6" w:rsidP="009C35B6">
      <w:pPr>
        <w:spacing w:after="160" w:line="276" w:lineRule="auto"/>
        <w:ind w:firstLine="567"/>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Оно о чему сваки наручилац мора водити рачуна приликом дефинисања критеријума за доделу уговора који није заснован на цени је следеће:   </w:t>
      </w:r>
    </w:p>
    <w:p w14:paraId="7915C931" w14:textId="77777777" w:rsidR="009C35B6" w:rsidRPr="009C35B6" w:rsidRDefault="009C35B6" w:rsidP="00341D3C">
      <w:pPr>
        <w:numPr>
          <w:ilvl w:val="0"/>
          <w:numId w:val="17"/>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Начело транспарентности. Наведено подразумева да критеријуми за доделу уговора морају бити унапред одређени у конкурсној документацији и наручилац, приликом оцене понуда, може применти само тако одређене критеријуме; </w:t>
      </w:r>
    </w:p>
    <w:p w14:paraId="53D457E8" w14:textId="77777777" w:rsidR="009C35B6" w:rsidRPr="009C35B6" w:rsidRDefault="009C35B6" w:rsidP="00341D3C">
      <w:pPr>
        <w:numPr>
          <w:ilvl w:val="0"/>
          <w:numId w:val="17"/>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 xml:space="preserve">Начело забране дискриминације и ограничавања конкуренције. Наведено подразумева да је наручилац дужан да омогући што је могуће већу </w:t>
      </w:r>
      <w:r w:rsidRPr="009C35B6">
        <w:rPr>
          <w:rFonts w:ascii="Arial" w:eastAsia="Calibri" w:hAnsi="Arial" w:cs="Arial"/>
          <w:kern w:val="2"/>
          <w:lang w:val="sr-Cyrl-RS"/>
          <w14:ligatures w14:val="standardContextual"/>
        </w:rPr>
        <w:lastRenderedPageBreak/>
        <w:t>конкуренцију и да не може онемогућавати било којег привредног субјекта да учествује у поступку јавне набавке коришћењем дискриминаторских критеријума за доделу уговора;</w:t>
      </w:r>
    </w:p>
    <w:p w14:paraId="143D49E8" w14:textId="77777777" w:rsidR="009C35B6" w:rsidRPr="009C35B6" w:rsidRDefault="009C35B6" w:rsidP="00341D3C">
      <w:pPr>
        <w:numPr>
          <w:ilvl w:val="0"/>
          <w:numId w:val="17"/>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Дефинисани критеријуми за доделу уговора морају бити у вези са предметом јавне набавке и морају бити описани и вредновани;</w:t>
      </w:r>
    </w:p>
    <w:p w14:paraId="0E490EF8" w14:textId="77777777" w:rsidR="009C35B6" w:rsidRPr="009C35B6" w:rsidRDefault="009C35B6" w:rsidP="00341D3C">
      <w:pPr>
        <w:numPr>
          <w:ilvl w:val="0"/>
          <w:numId w:val="17"/>
        </w:numPr>
        <w:spacing w:after="160" w:line="276" w:lineRule="auto"/>
        <w:contextualSpacing/>
        <w:jc w:val="both"/>
        <w:rPr>
          <w:rFonts w:ascii="Arial" w:eastAsia="Calibri" w:hAnsi="Arial" w:cs="Arial"/>
          <w:kern w:val="2"/>
          <w:lang w:val="sr-Cyrl-RS"/>
          <w14:ligatures w14:val="standardContextual"/>
        </w:rPr>
      </w:pPr>
      <w:r w:rsidRPr="009C35B6">
        <w:rPr>
          <w:rFonts w:ascii="Arial" w:eastAsia="Calibri" w:hAnsi="Arial" w:cs="Arial"/>
          <w:kern w:val="2"/>
          <w:lang w:val="sr-Cyrl-RS"/>
          <w14:ligatures w14:val="standardContextual"/>
        </w:rPr>
        <w:t>Наручилац детаљно мора да истражи тржиште пре него што дефинише критеријуме за доделу уговора.</w:t>
      </w:r>
    </w:p>
    <w:p w14:paraId="5EAD3825" w14:textId="3112D151" w:rsidR="00446549" w:rsidRPr="009C35B6" w:rsidRDefault="00446549" w:rsidP="00336627">
      <w:pPr>
        <w:rPr>
          <w:lang w:val="sr-Cyrl-RS"/>
        </w:rPr>
      </w:pPr>
    </w:p>
    <w:sectPr w:rsidR="00446549" w:rsidRPr="009C35B6" w:rsidSect="00E51DF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E6D3" w14:textId="77777777" w:rsidR="0018012E" w:rsidRDefault="0018012E" w:rsidP="00FD1619">
      <w:r>
        <w:separator/>
      </w:r>
    </w:p>
  </w:endnote>
  <w:endnote w:type="continuationSeparator" w:id="0">
    <w:p w14:paraId="32188C70" w14:textId="77777777" w:rsidR="0018012E" w:rsidRDefault="0018012E"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5191" w14:textId="77777777" w:rsidR="00696018" w:rsidRDefault="00696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549318"/>
      <w:docPartObj>
        <w:docPartGallery w:val="Page Numbers (Bottom of Page)"/>
        <w:docPartUnique/>
      </w:docPartObj>
    </w:sdtPr>
    <w:sdtEndPr>
      <w:rPr>
        <w:noProof/>
      </w:rPr>
    </w:sdtEndPr>
    <w:sdtContent>
      <w:p w14:paraId="7D438D5A" w14:textId="63E5A22B" w:rsidR="00696018" w:rsidRDefault="00696018">
        <w:pPr>
          <w:pStyle w:val="Footer"/>
          <w:jc w:val="right"/>
        </w:pPr>
        <w:r>
          <w:fldChar w:fldCharType="begin"/>
        </w:r>
        <w:r>
          <w:instrText xml:space="preserve"> PAGE   \* MERGEFORMAT </w:instrText>
        </w:r>
        <w:r>
          <w:fldChar w:fldCharType="separate"/>
        </w:r>
        <w:r w:rsidR="00A04BA4">
          <w:rPr>
            <w:noProof/>
          </w:rPr>
          <w:t>34</w:t>
        </w:r>
        <w:r>
          <w:rPr>
            <w:noProof/>
          </w:rPr>
          <w:fldChar w:fldCharType="end"/>
        </w:r>
      </w:p>
    </w:sdtContent>
  </w:sdt>
  <w:p w14:paraId="5D186423" w14:textId="6A88F198" w:rsidR="00696018" w:rsidRDefault="00696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DBB9" w14:textId="77777777" w:rsidR="00696018" w:rsidRDefault="00696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F438" w14:textId="77777777" w:rsidR="0018012E" w:rsidRDefault="0018012E" w:rsidP="00FD1619">
      <w:r>
        <w:separator/>
      </w:r>
    </w:p>
  </w:footnote>
  <w:footnote w:type="continuationSeparator" w:id="0">
    <w:p w14:paraId="37CC3630" w14:textId="77777777" w:rsidR="0018012E" w:rsidRDefault="0018012E" w:rsidP="00FD1619">
      <w:r>
        <w:continuationSeparator/>
      </w:r>
    </w:p>
  </w:footnote>
  <w:footnote w:id="1">
    <w:p w14:paraId="34C895E0" w14:textId="77777777" w:rsidR="00696018" w:rsidRPr="0002407B" w:rsidRDefault="00696018" w:rsidP="009C35B6">
      <w:pPr>
        <w:pStyle w:val="FootnoteText"/>
        <w:jc w:val="both"/>
        <w:rPr>
          <w:rFonts w:ascii="Arial" w:hAnsi="Arial" w:cs="Arial"/>
          <w:i/>
          <w:iCs/>
          <w:lang w:val="sr-Cyrl-RS"/>
        </w:rPr>
      </w:pPr>
      <w:r w:rsidRPr="0002407B">
        <w:rPr>
          <w:rStyle w:val="FootnoteReference"/>
          <w:rFonts w:ascii="Arial" w:hAnsi="Arial" w:cs="Arial"/>
          <w:i/>
          <w:iCs/>
        </w:rPr>
        <w:footnoteRef/>
      </w:r>
      <w:r w:rsidRPr="009C35B6">
        <w:rPr>
          <w:rFonts w:ascii="Arial" w:hAnsi="Arial" w:cs="Arial"/>
          <w:i/>
          <w:iCs/>
          <w:lang w:val="ru-RU"/>
        </w:rPr>
        <w:t xml:space="preserve"> </w:t>
      </w:r>
      <w:r w:rsidRPr="002C5749">
        <w:rPr>
          <w:rFonts w:ascii="Arial" w:hAnsi="Arial" w:cs="Arial"/>
          <w:i/>
          <w:iCs/>
          <w:lang w:val="sr-Cyrl-RS"/>
        </w:rPr>
        <w:t xml:space="preserve">Ова могућност прописана је чланом 132. став 2. ЗЈН и иста подразумева да је наручилац у документацији о набавци већ одредио цену или трошак, а да ће избор </w:t>
      </w:r>
      <w:r>
        <w:rPr>
          <w:rFonts w:ascii="Arial" w:hAnsi="Arial" w:cs="Arial"/>
          <w:i/>
          <w:iCs/>
          <w:lang w:val="sr-Cyrl-RS"/>
        </w:rPr>
        <w:t xml:space="preserve">економски </w:t>
      </w:r>
      <w:r w:rsidRPr="002C5749">
        <w:rPr>
          <w:rFonts w:ascii="Arial" w:hAnsi="Arial" w:cs="Arial"/>
          <w:i/>
          <w:iCs/>
          <w:lang w:val="sr-Cyrl-RS"/>
        </w:rPr>
        <w:t>најповољније понуде извршити само на основу критеријума који се заснива на квалитету.</w:t>
      </w:r>
    </w:p>
  </w:footnote>
  <w:footnote w:id="2">
    <w:p w14:paraId="0E2A8C11" w14:textId="77777777" w:rsidR="00696018" w:rsidRPr="0002407B" w:rsidRDefault="00696018" w:rsidP="009C35B6">
      <w:pPr>
        <w:pStyle w:val="FootnoteText"/>
        <w:jc w:val="both"/>
        <w:rPr>
          <w:rFonts w:ascii="Arial" w:hAnsi="Arial" w:cs="Arial"/>
          <w:i/>
          <w:iCs/>
          <w:lang w:val="sr-Cyrl-RS"/>
        </w:rPr>
      </w:pPr>
      <w:r w:rsidRPr="0002407B">
        <w:rPr>
          <w:rStyle w:val="FootnoteReference"/>
          <w:rFonts w:ascii="Arial" w:hAnsi="Arial" w:cs="Arial"/>
          <w:i/>
          <w:iCs/>
        </w:rPr>
        <w:footnoteRef/>
      </w:r>
      <w:r w:rsidRPr="0002407B">
        <w:rPr>
          <w:rFonts w:ascii="Arial" w:hAnsi="Arial" w:cs="Arial"/>
          <w:i/>
          <w:iCs/>
          <w:lang w:val="sr-Cyrl-RS"/>
        </w:rPr>
        <w:t xml:space="preserve"> Реч је о законској обавези која је прописана Законом о изменама и допунама Закона о јавним набавкама („Службени гласник РС“, број 92/23) који је у примени од 01. јануара 2024. године</w:t>
      </w:r>
    </w:p>
  </w:footnote>
  <w:footnote w:id="3">
    <w:p w14:paraId="114C2BEA" w14:textId="77777777" w:rsidR="00696018" w:rsidRPr="00AA5BF4" w:rsidRDefault="00696018" w:rsidP="009C35B6">
      <w:pPr>
        <w:pStyle w:val="FootnoteText"/>
        <w:jc w:val="both"/>
        <w:rPr>
          <w:i/>
          <w:iCs/>
          <w:lang w:val="sr-Cyrl-RS"/>
        </w:rPr>
      </w:pPr>
      <w:r w:rsidRPr="00AA5BF4">
        <w:rPr>
          <w:rStyle w:val="FootnoteReference"/>
          <w:i/>
          <w:iCs/>
        </w:rPr>
        <w:footnoteRef/>
      </w:r>
      <w:r w:rsidRPr="0002407B">
        <w:rPr>
          <w:i/>
          <w:iCs/>
          <w:lang w:val="sr-Cyrl-RS"/>
        </w:rPr>
        <w:t xml:space="preserve"> </w:t>
      </w:r>
      <w:r>
        <w:rPr>
          <w:i/>
          <w:iCs/>
          <w:lang w:val="sr-Cyrl-RS"/>
        </w:rPr>
        <w:t>Приказ статистичких</w:t>
      </w:r>
      <w:r w:rsidRPr="00AA5BF4">
        <w:rPr>
          <w:i/>
          <w:iCs/>
          <w:lang w:val="sr-Cyrl-RS"/>
        </w:rPr>
        <w:t xml:space="preserve"> података </w:t>
      </w:r>
      <w:r>
        <w:rPr>
          <w:i/>
          <w:iCs/>
          <w:lang w:val="sr-Cyrl-RS"/>
        </w:rPr>
        <w:t>дат је</w:t>
      </w:r>
      <w:r w:rsidRPr="00AA5BF4">
        <w:rPr>
          <w:i/>
          <w:iCs/>
          <w:lang w:val="sr-Cyrl-RS"/>
        </w:rPr>
        <w:t xml:space="preserve"> на основу података о поступцима јавних набавки који су спроведени на Порталу јавних набавки, као и на основу годишњих извештаја о </w:t>
      </w:r>
      <w:r>
        <w:rPr>
          <w:i/>
          <w:iCs/>
          <w:lang w:val="sr-Cyrl-RS"/>
        </w:rPr>
        <w:t xml:space="preserve">јавним </w:t>
      </w:r>
      <w:r w:rsidRPr="00AA5BF4">
        <w:rPr>
          <w:i/>
          <w:iCs/>
          <w:lang w:val="sr-Cyrl-RS"/>
        </w:rPr>
        <w:t xml:space="preserve">набавкама које је припремила Канцеларија за јавне набавке </w:t>
      </w:r>
    </w:p>
  </w:footnote>
  <w:footnote w:id="4">
    <w:p w14:paraId="323D6B47" w14:textId="77777777" w:rsidR="00696018" w:rsidRPr="00AA5BF4" w:rsidRDefault="00696018" w:rsidP="009C35B6">
      <w:pPr>
        <w:pStyle w:val="FootnoteText"/>
        <w:jc w:val="both"/>
        <w:rPr>
          <w:i/>
          <w:iCs/>
          <w:lang w:val="sr-Cyrl-RS"/>
        </w:rPr>
      </w:pPr>
      <w:r w:rsidRPr="00AA5BF4">
        <w:rPr>
          <w:rStyle w:val="FootnoteReference"/>
          <w:i/>
          <w:iCs/>
        </w:rPr>
        <w:footnoteRef/>
      </w:r>
      <w:r w:rsidRPr="00AA5BF4">
        <w:rPr>
          <w:i/>
          <w:iCs/>
          <w:lang w:val="sr-Cyrl-RS"/>
        </w:rPr>
        <w:t xml:space="preserve"> Подаци за 2024. годину односе се на период закључно са 11. новембром 2024. године</w:t>
      </w:r>
    </w:p>
  </w:footnote>
  <w:footnote w:id="5">
    <w:p w14:paraId="79495044" w14:textId="77777777" w:rsidR="00696018" w:rsidRPr="009C35B6" w:rsidRDefault="00696018" w:rsidP="009C35B6">
      <w:pPr>
        <w:pStyle w:val="FootnoteText"/>
        <w:jc w:val="both"/>
        <w:rPr>
          <w:color w:val="044458"/>
          <w:lang w:val="sr-Latn-RS"/>
        </w:rPr>
      </w:pPr>
      <w:r w:rsidRPr="00723C3F">
        <w:rPr>
          <w:rStyle w:val="FootnoteReference"/>
          <w:i/>
          <w:iCs/>
        </w:rPr>
        <w:footnoteRef/>
      </w:r>
      <w:r w:rsidRPr="004640F7">
        <w:rPr>
          <w:i/>
          <w:iCs/>
          <w:lang w:val="sr-Latn-RS"/>
        </w:rPr>
        <w:t xml:space="preserve"> </w:t>
      </w:r>
      <w:r w:rsidRPr="00723C3F">
        <w:rPr>
          <w:rFonts w:ascii="Arial" w:hAnsi="Arial" w:cs="Arial"/>
          <w:i/>
          <w:iCs/>
          <w:lang w:val="sr-Cyrl-RS"/>
        </w:rPr>
        <w:t>Подаци о предметним поступцима јавних набавки преузети су са Портала јавних набавки</w:t>
      </w:r>
      <w:r w:rsidRPr="004640F7">
        <w:rPr>
          <w:rFonts w:ascii="Arial" w:hAnsi="Arial" w:cs="Arial"/>
          <w:i/>
          <w:iCs/>
          <w:lang w:val="sr-Latn-RS"/>
        </w:rPr>
        <w:t xml:space="preserve"> </w:t>
      </w:r>
      <w:hyperlink r:id="rId1" w:history="1">
        <w:r w:rsidRPr="009C35B6">
          <w:rPr>
            <w:rStyle w:val="Hyperlink"/>
            <w:rFonts w:ascii="Arial" w:hAnsi="Arial" w:cs="Arial"/>
            <w:i/>
            <w:iCs/>
            <w:color w:val="044458"/>
            <w:lang w:val="sr-Latn-RS"/>
          </w:rPr>
          <w:t>https://jnportal.ujn.gov.rs/</w:t>
        </w:r>
      </w:hyperlink>
    </w:p>
  </w:footnote>
  <w:footnote w:id="6">
    <w:p w14:paraId="2121AF9A" w14:textId="58D68EC9" w:rsidR="00696018" w:rsidRPr="00DD481B" w:rsidRDefault="00696018" w:rsidP="00DD481B">
      <w:pPr>
        <w:pStyle w:val="FootnoteText"/>
        <w:jc w:val="both"/>
        <w:rPr>
          <w:rFonts w:ascii="Arial" w:hAnsi="Arial" w:cs="Arial"/>
          <w:i/>
          <w:lang w:val="sr-Cyrl-RS"/>
        </w:rPr>
      </w:pPr>
      <w:r w:rsidRPr="00DD481B">
        <w:rPr>
          <w:rStyle w:val="FootnoteReference"/>
          <w:rFonts w:ascii="Arial" w:hAnsi="Arial" w:cs="Arial"/>
          <w:i/>
        </w:rPr>
        <w:footnoteRef/>
      </w:r>
      <w:r w:rsidRPr="00D00539">
        <w:rPr>
          <w:rFonts w:ascii="Arial" w:hAnsi="Arial" w:cs="Arial"/>
          <w:i/>
          <w:lang w:val="ru-RU"/>
        </w:rPr>
        <w:t xml:space="preserve"> </w:t>
      </w:r>
      <w:r w:rsidRPr="00DD481B">
        <w:rPr>
          <w:rFonts w:ascii="Arial" w:hAnsi="Arial" w:cs="Arial"/>
          <w:i/>
          <w:lang w:val="sr-Cyrl-RS"/>
        </w:rPr>
        <w:t>Моделима конкурсних документација можете приступити путем линка: https://www.ujn.gov.rs/?page_id=1195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ED96" w14:textId="2CA2B454" w:rsidR="00696018" w:rsidRDefault="00000000">
    <w:pPr>
      <w:pStyle w:val="Header"/>
    </w:pPr>
    <w:r>
      <w:rPr>
        <w:noProof/>
      </w:rPr>
      <w:pict w14:anchorId="3D98A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8"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0108" w14:textId="2FA2F5E8" w:rsidR="00696018" w:rsidRDefault="00696018">
    <w:pPr>
      <w:pStyle w:val="Header"/>
    </w:pPr>
    <w:r>
      <w:rPr>
        <w:noProof/>
      </w:rPr>
      <w:drawing>
        <wp:anchor distT="0" distB="0" distL="114300" distR="114300" simplePos="0" relativeHeight="251686912" behindDoc="1" locked="0" layoutInCell="0" allowOverlap="1" wp14:anchorId="33774746" wp14:editId="578F4DA7">
          <wp:simplePos x="0" y="0"/>
          <wp:positionH relativeFrom="margin">
            <wp:align>center</wp:align>
          </wp:positionH>
          <wp:positionV relativeFrom="margin">
            <wp:align>center</wp:align>
          </wp:positionV>
          <wp:extent cx="7874000" cy="11137900"/>
          <wp:effectExtent l="0" t="0" r="0" b="6350"/>
          <wp:wrapNone/>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25C8D1" wp14:editId="74C531B8">
          <wp:simplePos x="0" y="0"/>
          <wp:positionH relativeFrom="column">
            <wp:posOffset>2714307</wp:posOffset>
          </wp:positionH>
          <wp:positionV relativeFrom="paragraph">
            <wp:posOffset>-873760</wp:posOffset>
          </wp:positionV>
          <wp:extent cx="3521705" cy="5220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7B363976" wp14:editId="7D56E920">
          <wp:simplePos x="0" y="0"/>
          <wp:positionH relativeFrom="margin">
            <wp:align>center</wp:align>
          </wp:positionH>
          <wp:positionV relativeFrom="margin">
            <wp:align>center</wp:align>
          </wp:positionV>
          <wp:extent cx="7874000" cy="11137900"/>
          <wp:effectExtent l="0" t="0" r="0" b="635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18A70AD" wp14:editId="16463096">
          <wp:simplePos x="0" y="0"/>
          <wp:positionH relativeFrom="column">
            <wp:posOffset>-340707</wp:posOffset>
          </wp:positionH>
          <wp:positionV relativeFrom="paragraph">
            <wp:posOffset>-870585</wp:posOffset>
          </wp:positionV>
          <wp:extent cx="2276990" cy="4348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3E8" w14:textId="1E2A3F2A" w:rsidR="00696018" w:rsidRDefault="00000000">
    <w:pPr>
      <w:pStyle w:val="Header"/>
    </w:pPr>
    <w:r>
      <w:rPr>
        <w:noProof/>
      </w:rPr>
      <w:pict w14:anchorId="3746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D1E"/>
    <w:multiLevelType w:val="multilevel"/>
    <w:tmpl w:val="46B4ED4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0F36266"/>
    <w:multiLevelType w:val="hybridMultilevel"/>
    <w:tmpl w:val="782A5D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729D7"/>
    <w:multiLevelType w:val="multilevel"/>
    <w:tmpl w:val="DF068FE4"/>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C6D3DEA"/>
    <w:multiLevelType w:val="hybridMultilevel"/>
    <w:tmpl w:val="7E70FBE0"/>
    <w:lvl w:ilvl="0" w:tplc="8C60D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25093"/>
    <w:multiLevelType w:val="hybridMultilevel"/>
    <w:tmpl w:val="974CDE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8A14C4"/>
    <w:multiLevelType w:val="hybridMultilevel"/>
    <w:tmpl w:val="9CB43E20"/>
    <w:lvl w:ilvl="0" w:tplc="B8566CD4">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91123B"/>
    <w:multiLevelType w:val="hybridMultilevel"/>
    <w:tmpl w:val="06761F06"/>
    <w:lvl w:ilvl="0" w:tplc="0316A26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C01B4"/>
    <w:multiLevelType w:val="hybridMultilevel"/>
    <w:tmpl w:val="3F24B3FA"/>
    <w:lvl w:ilvl="0" w:tplc="E3E691B4">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8" w15:restartNumberingAfterBreak="0">
    <w:nsid w:val="4D3E0A3B"/>
    <w:multiLevelType w:val="hybridMultilevel"/>
    <w:tmpl w:val="F126D7FE"/>
    <w:lvl w:ilvl="0" w:tplc="A6B4C104">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FA2EDA"/>
    <w:multiLevelType w:val="hybridMultilevel"/>
    <w:tmpl w:val="6D222608"/>
    <w:lvl w:ilvl="0" w:tplc="B8566CD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44674"/>
    <w:multiLevelType w:val="hybridMultilevel"/>
    <w:tmpl w:val="43B6EC08"/>
    <w:lvl w:ilvl="0" w:tplc="B8566CD4">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EE1E5C"/>
    <w:multiLevelType w:val="hybridMultilevel"/>
    <w:tmpl w:val="C46C1678"/>
    <w:lvl w:ilvl="0" w:tplc="0316A26E">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C03D72"/>
    <w:multiLevelType w:val="hybridMultilevel"/>
    <w:tmpl w:val="EB129A1C"/>
    <w:lvl w:ilvl="0" w:tplc="0316A26E">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23049A"/>
    <w:multiLevelType w:val="hybridMultilevel"/>
    <w:tmpl w:val="768445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835AEB"/>
    <w:multiLevelType w:val="hybridMultilevel"/>
    <w:tmpl w:val="49887328"/>
    <w:lvl w:ilvl="0" w:tplc="0316A26E">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0A4757"/>
    <w:multiLevelType w:val="hybridMultilevel"/>
    <w:tmpl w:val="DD886AD2"/>
    <w:lvl w:ilvl="0" w:tplc="78CE1C7A">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6" w15:restartNumberingAfterBreak="0">
    <w:nsid w:val="7B8852A0"/>
    <w:multiLevelType w:val="hybridMultilevel"/>
    <w:tmpl w:val="C4BCD3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916E9"/>
    <w:multiLevelType w:val="hybridMultilevel"/>
    <w:tmpl w:val="0642796E"/>
    <w:lvl w:ilvl="0" w:tplc="32044B9C">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8615112">
    <w:abstractNumId w:val="0"/>
  </w:num>
  <w:num w:numId="2" w16cid:durableId="1913466582">
    <w:abstractNumId w:val="16"/>
  </w:num>
  <w:num w:numId="3" w16cid:durableId="1488747315">
    <w:abstractNumId w:val="9"/>
  </w:num>
  <w:num w:numId="4" w16cid:durableId="1840654749">
    <w:abstractNumId w:val="6"/>
  </w:num>
  <w:num w:numId="5" w16cid:durableId="1643385009">
    <w:abstractNumId w:val="2"/>
  </w:num>
  <w:num w:numId="6" w16cid:durableId="256327016">
    <w:abstractNumId w:val="10"/>
  </w:num>
  <w:num w:numId="7" w16cid:durableId="250554778">
    <w:abstractNumId w:val="12"/>
  </w:num>
  <w:num w:numId="8" w16cid:durableId="1933270797">
    <w:abstractNumId w:val="11"/>
  </w:num>
  <w:num w:numId="9" w16cid:durableId="2024892099">
    <w:abstractNumId w:val="7"/>
  </w:num>
  <w:num w:numId="10" w16cid:durableId="1669391">
    <w:abstractNumId w:val="5"/>
  </w:num>
  <w:num w:numId="11" w16cid:durableId="1132942749">
    <w:abstractNumId w:val="13"/>
  </w:num>
  <w:num w:numId="12" w16cid:durableId="1732725857">
    <w:abstractNumId w:val="4"/>
  </w:num>
  <w:num w:numId="13" w16cid:durableId="1164315488">
    <w:abstractNumId w:val="8"/>
  </w:num>
  <w:num w:numId="14" w16cid:durableId="1081097489">
    <w:abstractNumId w:val="3"/>
  </w:num>
  <w:num w:numId="15" w16cid:durableId="453524876">
    <w:abstractNumId w:val="1"/>
  </w:num>
  <w:num w:numId="16" w16cid:durableId="99952224">
    <w:abstractNumId w:val="17"/>
  </w:num>
  <w:num w:numId="17" w16cid:durableId="1529753991">
    <w:abstractNumId w:val="14"/>
  </w:num>
  <w:num w:numId="18" w16cid:durableId="178037533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2730E"/>
    <w:rsid w:val="000342C7"/>
    <w:rsid w:val="00037132"/>
    <w:rsid w:val="000B6259"/>
    <w:rsid w:val="001022AF"/>
    <w:rsid w:val="001346F1"/>
    <w:rsid w:val="00155172"/>
    <w:rsid w:val="00164E53"/>
    <w:rsid w:val="0018012E"/>
    <w:rsid w:val="00193137"/>
    <w:rsid w:val="001C3F0C"/>
    <w:rsid w:val="001F11A3"/>
    <w:rsid w:val="002403CA"/>
    <w:rsid w:val="00276045"/>
    <w:rsid w:val="002A73B7"/>
    <w:rsid w:val="003031C4"/>
    <w:rsid w:val="00317BF8"/>
    <w:rsid w:val="00336627"/>
    <w:rsid w:val="00341D3C"/>
    <w:rsid w:val="003810DB"/>
    <w:rsid w:val="0039169C"/>
    <w:rsid w:val="003B765C"/>
    <w:rsid w:val="003C1E22"/>
    <w:rsid w:val="003D200F"/>
    <w:rsid w:val="00403C5D"/>
    <w:rsid w:val="0042634A"/>
    <w:rsid w:val="00446549"/>
    <w:rsid w:val="00452360"/>
    <w:rsid w:val="00452C30"/>
    <w:rsid w:val="00460BD5"/>
    <w:rsid w:val="00473007"/>
    <w:rsid w:val="00475ECB"/>
    <w:rsid w:val="004869CD"/>
    <w:rsid w:val="0049567C"/>
    <w:rsid w:val="004B6BF8"/>
    <w:rsid w:val="004C0B06"/>
    <w:rsid w:val="004D2845"/>
    <w:rsid w:val="004E2528"/>
    <w:rsid w:val="0052332D"/>
    <w:rsid w:val="005553E5"/>
    <w:rsid w:val="00560622"/>
    <w:rsid w:val="00562E98"/>
    <w:rsid w:val="0058709F"/>
    <w:rsid w:val="0059212E"/>
    <w:rsid w:val="005A24E1"/>
    <w:rsid w:val="005C0727"/>
    <w:rsid w:val="005D3750"/>
    <w:rsid w:val="005D55AE"/>
    <w:rsid w:val="005E06C8"/>
    <w:rsid w:val="0060404C"/>
    <w:rsid w:val="006114F0"/>
    <w:rsid w:val="00696018"/>
    <w:rsid w:val="006A517C"/>
    <w:rsid w:val="0071780D"/>
    <w:rsid w:val="00774E32"/>
    <w:rsid w:val="0077506A"/>
    <w:rsid w:val="007B3FEA"/>
    <w:rsid w:val="008217A1"/>
    <w:rsid w:val="008555A4"/>
    <w:rsid w:val="00855713"/>
    <w:rsid w:val="00876244"/>
    <w:rsid w:val="00934953"/>
    <w:rsid w:val="00941FD0"/>
    <w:rsid w:val="00956B6C"/>
    <w:rsid w:val="00977CE9"/>
    <w:rsid w:val="009B402F"/>
    <w:rsid w:val="009C35B6"/>
    <w:rsid w:val="009D063E"/>
    <w:rsid w:val="009D7D2C"/>
    <w:rsid w:val="00A04BA4"/>
    <w:rsid w:val="00A41B30"/>
    <w:rsid w:val="00A64D68"/>
    <w:rsid w:val="00A7350A"/>
    <w:rsid w:val="00A752C2"/>
    <w:rsid w:val="00AF7F9D"/>
    <w:rsid w:val="00B11E1C"/>
    <w:rsid w:val="00B33783"/>
    <w:rsid w:val="00B54A1B"/>
    <w:rsid w:val="00B75F56"/>
    <w:rsid w:val="00BD5E7D"/>
    <w:rsid w:val="00C1213F"/>
    <w:rsid w:val="00C1617B"/>
    <w:rsid w:val="00CA0988"/>
    <w:rsid w:val="00CB0A05"/>
    <w:rsid w:val="00CB0AB0"/>
    <w:rsid w:val="00CC55F1"/>
    <w:rsid w:val="00CF05DA"/>
    <w:rsid w:val="00D00539"/>
    <w:rsid w:val="00D04965"/>
    <w:rsid w:val="00D177B5"/>
    <w:rsid w:val="00D769F2"/>
    <w:rsid w:val="00D92FF3"/>
    <w:rsid w:val="00D9691F"/>
    <w:rsid w:val="00DA1A19"/>
    <w:rsid w:val="00DD481B"/>
    <w:rsid w:val="00E0170A"/>
    <w:rsid w:val="00E51DF7"/>
    <w:rsid w:val="00E82084"/>
    <w:rsid w:val="00E967A9"/>
    <w:rsid w:val="00F077BA"/>
    <w:rsid w:val="00F15C99"/>
    <w:rsid w:val="00F25174"/>
    <w:rsid w:val="00F907BF"/>
    <w:rsid w:val="00FD1619"/>
    <w:rsid w:val="00FE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uiPriority w:val="1"/>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uiPriority w:val="1"/>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iPriority w:val="9"/>
    <w:semiHidden/>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basedOn w:val="Normal"/>
    <w:uiPriority w:val="34"/>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uiPriority w:val="9"/>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1"/>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uiPriority w:val="1"/>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uiPriority w:val="9"/>
    <w:semiHidden/>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39"/>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39"/>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39"/>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39"/>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39"/>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uiPriority w:val="1"/>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basedOn w:val="Normal"/>
    <w:uiPriority w:val="99"/>
    <w:unhideWhenUsed/>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numbering" w:customStyle="1" w:styleId="NoList1">
    <w:name w:val="No List1"/>
    <w:next w:val="NoList"/>
    <w:uiPriority w:val="99"/>
    <w:semiHidden/>
    <w:unhideWhenUsed/>
    <w:rsid w:val="009C35B6"/>
  </w:style>
  <w:style w:type="paragraph" w:styleId="FootnoteText">
    <w:name w:val="footnote text"/>
    <w:basedOn w:val="Normal"/>
    <w:link w:val="FootnoteTextChar"/>
    <w:uiPriority w:val="99"/>
    <w:semiHidden/>
    <w:unhideWhenUsed/>
    <w:rsid w:val="009C35B6"/>
    <w:rPr>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9C35B6"/>
    <w:rPr>
      <w:kern w:val="2"/>
      <w:sz w:val="20"/>
      <w:szCs w:val="20"/>
      <w:lang w:val="en-GB"/>
      <w14:ligatures w14:val="standardContextual"/>
    </w:rPr>
  </w:style>
  <w:style w:type="character" w:styleId="FootnoteReference">
    <w:name w:val="footnote reference"/>
    <w:basedOn w:val="DefaultParagraphFont"/>
    <w:uiPriority w:val="99"/>
    <w:semiHidden/>
    <w:unhideWhenUsed/>
    <w:rsid w:val="009C35B6"/>
    <w:rPr>
      <w:vertAlign w:val="superscript"/>
    </w:rPr>
  </w:style>
  <w:style w:type="table" w:styleId="TableGrid">
    <w:name w:val="Table Grid"/>
    <w:basedOn w:val="TableNormal"/>
    <w:uiPriority w:val="39"/>
    <w:rsid w:val="009C35B6"/>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9C35B6"/>
    <w:rPr>
      <w:kern w:val="2"/>
      <w:sz w:val="22"/>
      <w:szCs w:val="22"/>
      <w:lang w:val="en-GB"/>
      <w14:ligatures w14:val="standardContextu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uiPriority w:val="44"/>
    <w:rsid w:val="009C35B6"/>
    <w:rPr>
      <w:kern w:val="2"/>
      <w:sz w:val="22"/>
      <w:szCs w:val="22"/>
      <w:lang w:val="en-GB"/>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uiPriority w:val="43"/>
    <w:rsid w:val="009C35B6"/>
    <w:rPr>
      <w:kern w:val="2"/>
      <w:sz w:val="22"/>
      <w:szCs w:val="22"/>
      <w:lang w:val="en-GB"/>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next w:val="PlainTable2"/>
    <w:uiPriority w:val="42"/>
    <w:rsid w:val="009C35B6"/>
    <w:rPr>
      <w:kern w:val="2"/>
      <w:sz w:val="22"/>
      <w:szCs w:val="22"/>
      <w:lang w:val="en-GB"/>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next w:val="PlainTable1"/>
    <w:uiPriority w:val="41"/>
    <w:rsid w:val="009C35B6"/>
    <w:rPr>
      <w:kern w:val="2"/>
      <w:sz w:val="22"/>
      <w:szCs w:val="22"/>
      <w:lang w:val="en-GB"/>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21">
    <w:name w:val="Grid Table 5 Dark - Accent 21"/>
    <w:basedOn w:val="TableNormal"/>
    <w:next w:val="GridTable5Dark-Accent2"/>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F3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AB83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AB83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AB83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AB833"/>
      </w:tcPr>
    </w:tblStylePr>
    <w:tblStylePr w:type="band1Vert">
      <w:tblPr/>
      <w:tcPr>
        <w:shd w:val="clear" w:color="auto" w:fill="D1E7A8"/>
      </w:tcPr>
    </w:tblStylePr>
    <w:tblStylePr w:type="band1Horz">
      <w:tblPr/>
      <w:tcPr>
        <w:shd w:val="clear" w:color="auto" w:fill="D1E7A8"/>
      </w:tcPr>
    </w:tblStylePr>
  </w:style>
  <w:style w:type="table" w:customStyle="1" w:styleId="GridTable5Dark-Accent41">
    <w:name w:val="Grid Table 5 Dark - Accent 41"/>
    <w:basedOn w:val="TableNormal"/>
    <w:next w:val="GridTable5Dark-Accent4"/>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8FE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2967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2967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2967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29676"/>
      </w:tcPr>
    </w:tblStylePr>
    <w:tblStylePr w:type="band1Vert">
      <w:tblPr/>
      <w:tcPr>
        <w:shd w:val="clear" w:color="auto" w:fill="71FDDE"/>
      </w:tcPr>
    </w:tblStylePr>
    <w:tblStylePr w:type="band1Horz">
      <w:tblPr/>
      <w:tcPr>
        <w:shd w:val="clear" w:color="auto" w:fill="71FDDE"/>
      </w:tcPr>
    </w:tblStylePr>
  </w:style>
  <w:style w:type="table" w:customStyle="1" w:styleId="GridTable4-Accent61">
    <w:name w:val="Grid Table 4 - Accent 61"/>
    <w:basedOn w:val="TableNormal"/>
    <w:next w:val="GridTable4-Accent6"/>
    <w:uiPriority w:val="49"/>
    <w:rsid w:val="009C35B6"/>
    <w:rPr>
      <w:kern w:val="2"/>
      <w:sz w:val="22"/>
      <w:szCs w:val="22"/>
      <w:lang w:val="en-GB"/>
      <w14:ligatures w14:val="standardContextu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table" w:customStyle="1" w:styleId="ListTable3-Accent11">
    <w:name w:val="List Table 3 - Accent 11"/>
    <w:basedOn w:val="TableNormal"/>
    <w:next w:val="ListTable3-Accent1"/>
    <w:uiPriority w:val="48"/>
    <w:rsid w:val="009C35B6"/>
    <w:rPr>
      <w:kern w:val="2"/>
      <w:sz w:val="22"/>
      <w:szCs w:val="22"/>
      <w:lang w:val="en-GB"/>
      <w14:ligatures w14:val="standardContextual"/>
    </w:rPr>
    <w:tblPr>
      <w:tblStyleRowBandSize w:val="1"/>
      <w:tblStyleColBandSize w:val="1"/>
      <w:tblBorders>
        <w:top w:val="single" w:sz="4" w:space="0" w:color="549E39"/>
        <w:left w:val="single" w:sz="4" w:space="0" w:color="549E39"/>
        <w:bottom w:val="single" w:sz="4" w:space="0" w:color="549E39"/>
        <w:right w:val="single" w:sz="4" w:space="0" w:color="549E39"/>
      </w:tblBorders>
    </w:tblPr>
    <w:tblStylePr w:type="firstRow">
      <w:rPr>
        <w:b/>
        <w:bCs/>
        <w:color w:val="FFFFFF"/>
      </w:rPr>
      <w:tblPr/>
      <w:tcPr>
        <w:shd w:val="clear" w:color="auto" w:fill="549E39"/>
      </w:tcPr>
    </w:tblStylePr>
    <w:tblStylePr w:type="lastRow">
      <w:rPr>
        <w:b/>
        <w:bCs/>
      </w:rPr>
      <w:tblPr/>
      <w:tcPr>
        <w:tcBorders>
          <w:top w:val="double" w:sz="4" w:space="0" w:color="549E3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49E39"/>
          <w:right w:val="single" w:sz="4" w:space="0" w:color="549E39"/>
        </w:tcBorders>
      </w:tcPr>
    </w:tblStylePr>
    <w:tblStylePr w:type="band1Horz">
      <w:tblPr/>
      <w:tcPr>
        <w:tcBorders>
          <w:top w:val="single" w:sz="4" w:space="0" w:color="549E39"/>
          <w:bottom w:val="single" w:sz="4" w:space="0" w:color="549E3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left w:val="nil"/>
        </w:tcBorders>
      </w:tcPr>
    </w:tblStylePr>
    <w:tblStylePr w:type="swCell">
      <w:tblPr/>
      <w:tcPr>
        <w:tcBorders>
          <w:top w:val="double" w:sz="4" w:space="0" w:color="549E39"/>
          <w:right w:val="nil"/>
        </w:tcBorders>
      </w:tcPr>
    </w:tblStylePr>
  </w:style>
  <w:style w:type="table" w:customStyle="1" w:styleId="GridTable5Dark-Accent11">
    <w:name w:val="Grid Table 5 Dark - Accent 11"/>
    <w:basedOn w:val="TableNormal"/>
    <w:next w:val="GridTable5Dark-Accent1"/>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F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49E3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49E3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49E3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49E39"/>
      </w:tcPr>
    </w:tblStylePr>
    <w:tblStylePr w:type="band1Vert">
      <w:tblPr/>
      <w:tcPr>
        <w:shd w:val="clear" w:color="auto" w:fill="B7DFA8"/>
      </w:tcPr>
    </w:tblStylePr>
    <w:tblStylePr w:type="band1Horz">
      <w:tblPr/>
      <w:tcPr>
        <w:shd w:val="clear" w:color="auto" w:fill="B7DFA8"/>
      </w:tcPr>
    </w:tblStylePr>
  </w:style>
  <w:style w:type="table" w:customStyle="1" w:styleId="GridTable5Dark-Accent31">
    <w:name w:val="Grid Table 5 Dark - Accent 31"/>
    <w:basedOn w:val="TableNormal"/>
    <w:next w:val="GridTable5Dark-Accent3"/>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5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CF3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CF3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CF3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CF3A"/>
      </w:tcPr>
    </w:tblStylePr>
    <w:tblStylePr w:type="band1Vert">
      <w:tblPr/>
      <w:tcPr>
        <w:shd w:val="clear" w:color="auto" w:fill="E5EBB0"/>
      </w:tcPr>
    </w:tblStylePr>
    <w:tblStylePr w:type="band1Horz">
      <w:tblPr/>
      <w:tcPr>
        <w:shd w:val="clear" w:color="auto" w:fill="E5EBB0"/>
      </w:tcPr>
    </w:tblStylePr>
  </w:style>
  <w:style w:type="table" w:customStyle="1" w:styleId="GridTable4-Accent11">
    <w:name w:val="Grid Table 4 - Accent 11"/>
    <w:basedOn w:val="TableNormal"/>
    <w:next w:val="GridTable4-Accent1"/>
    <w:uiPriority w:val="49"/>
    <w:rsid w:val="009C35B6"/>
    <w:rPr>
      <w:kern w:val="2"/>
      <w:sz w:val="22"/>
      <w:szCs w:val="22"/>
      <w:lang w:val="en-GB"/>
      <w14:ligatures w14:val="standardContextual"/>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color w:val="FFFFFF"/>
      </w:rPr>
      <w:tblPr/>
      <w:tcPr>
        <w:tcBorders>
          <w:top w:val="single" w:sz="4" w:space="0" w:color="549E39"/>
          <w:left w:val="single" w:sz="4" w:space="0" w:color="549E39"/>
          <w:bottom w:val="single" w:sz="4" w:space="0" w:color="549E39"/>
          <w:right w:val="single" w:sz="4" w:space="0" w:color="549E39"/>
          <w:insideH w:val="nil"/>
          <w:insideV w:val="nil"/>
        </w:tcBorders>
        <w:shd w:val="clear" w:color="auto" w:fill="549E39"/>
      </w:tcPr>
    </w:tblStylePr>
    <w:tblStylePr w:type="lastRow">
      <w:rPr>
        <w:b/>
        <w:bCs/>
      </w:rPr>
      <w:tblPr/>
      <w:tcPr>
        <w:tcBorders>
          <w:top w:val="double" w:sz="4" w:space="0" w:color="549E39"/>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 w:type="table" w:customStyle="1" w:styleId="GridTable4-Accent31">
    <w:name w:val="Grid Table 4 - Accent 31"/>
    <w:basedOn w:val="TableNormal"/>
    <w:next w:val="GridTable4-Accent3"/>
    <w:uiPriority w:val="49"/>
    <w:rsid w:val="009C35B6"/>
    <w:pPr>
      <w:widowControl w:val="0"/>
      <w:autoSpaceDE w:val="0"/>
      <w:autoSpaceDN w:val="0"/>
    </w:pPr>
    <w:rPr>
      <w:sz w:val="22"/>
      <w:szCs w:val="22"/>
    </w:r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insideV w:val="single" w:sz="4" w:space="0" w:color="D9E288"/>
      </w:tblBorders>
    </w:tblPr>
    <w:tblStylePr w:type="firstRow">
      <w:rPr>
        <w:b/>
        <w:bCs/>
        <w:color w:val="FFFFFF"/>
      </w:rPr>
      <w:tblPr/>
      <w:tcPr>
        <w:tcBorders>
          <w:top w:val="single" w:sz="4" w:space="0" w:color="C0CF3A"/>
          <w:left w:val="single" w:sz="4" w:space="0" w:color="C0CF3A"/>
          <w:bottom w:val="single" w:sz="4" w:space="0" w:color="C0CF3A"/>
          <w:right w:val="single" w:sz="4" w:space="0" w:color="C0CF3A"/>
          <w:insideH w:val="nil"/>
          <w:insideV w:val="nil"/>
        </w:tcBorders>
        <w:shd w:val="clear" w:color="auto" w:fill="C0CF3A"/>
      </w:tcPr>
    </w:tblStylePr>
    <w:tblStylePr w:type="lastRow">
      <w:rPr>
        <w:b/>
        <w:bCs/>
      </w:rPr>
      <w:tblPr/>
      <w:tcPr>
        <w:tcBorders>
          <w:top w:val="double" w:sz="4" w:space="0" w:color="C0CF3A"/>
        </w:tcBorders>
      </w:tcPr>
    </w:tblStylePr>
    <w:tblStylePr w:type="firstCol">
      <w:rPr>
        <w:b/>
        <w:bCs/>
      </w:rPr>
    </w:tblStylePr>
    <w:tblStylePr w:type="lastCol">
      <w:rPr>
        <w:b/>
        <w:bCs/>
      </w:rPr>
    </w:tblStylePr>
    <w:tblStylePr w:type="band1Vert">
      <w:tblPr/>
      <w:tcPr>
        <w:shd w:val="clear" w:color="auto" w:fill="F2F5D7"/>
      </w:tcPr>
    </w:tblStylePr>
    <w:tblStylePr w:type="band1Horz">
      <w:tblPr/>
      <w:tcPr>
        <w:shd w:val="clear" w:color="auto" w:fill="F2F5D7"/>
      </w:tcPr>
    </w:tblStylePr>
  </w:style>
  <w:style w:type="character" w:customStyle="1" w:styleId="UnresolvedMention2">
    <w:name w:val="Unresolved Mention2"/>
    <w:basedOn w:val="DefaultParagraphFont"/>
    <w:uiPriority w:val="99"/>
    <w:semiHidden/>
    <w:unhideWhenUsed/>
    <w:rsid w:val="009C35B6"/>
    <w:rPr>
      <w:color w:val="605E5C"/>
      <w:shd w:val="clear" w:color="auto" w:fill="E1DFDD"/>
    </w:rPr>
  </w:style>
  <w:style w:type="character" w:customStyle="1" w:styleId="FollowedHyperlink1">
    <w:name w:val="FollowedHyperlink1"/>
    <w:basedOn w:val="DefaultParagraphFont"/>
    <w:uiPriority w:val="99"/>
    <w:semiHidden/>
    <w:unhideWhenUsed/>
    <w:rsid w:val="009C35B6"/>
    <w:rPr>
      <w:color w:val="BA6906"/>
      <w:u w:val="single"/>
    </w:rPr>
  </w:style>
  <w:style w:type="paragraph" w:styleId="TOCHeading">
    <w:name w:val="TOC Heading"/>
    <w:basedOn w:val="Heading1"/>
    <w:next w:val="Normal"/>
    <w:uiPriority w:val="39"/>
    <w:unhideWhenUsed/>
    <w:qFormat/>
    <w:rsid w:val="009C35B6"/>
    <w:pPr>
      <w:keepNext/>
      <w:keepLines/>
      <w:widowControl/>
      <w:autoSpaceDE/>
      <w:autoSpaceDN/>
      <w:spacing w:before="240" w:line="259" w:lineRule="auto"/>
      <w:ind w:left="0" w:firstLine="0"/>
      <w:outlineLvl w:val="9"/>
    </w:pPr>
    <w:rPr>
      <w:rFonts w:ascii="Calibri Light" w:hAnsi="Calibri Light"/>
      <w:b w:val="0"/>
      <w:bCs w:val="0"/>
      <w:color w:val="3E762A"/>
      <w:sz w:val="32"/>
      <w:szCs w:val="32"/>
      <w:lang w:val="en-US"/>
    </w:rPr>
  </w:style>
  <w:style w:type="paragraph" w:customStyle="1" w:styleId="TOC71">
    <w:name w:val="TOC 71"/>
    <w:basedOn w:val="Normal"/>
    <w:next w:val="Normal"/>
    <w:autoRedefine/>
    <w:uiPriority w:val="39"/>
    <w:unhideWhenUsed/>
    <w:rsid w:val="009C35B6"/>
    <w:pPr>
      <w:spacing w:line="259" w:lineRule="auto"/>
      <w:ind w:left="1100"/>
    </w:pPr>
    <w:rPr>
      <w:rFonts w:cs="Calibri"/>
      <w:kern w:val="2"/>
      <w:sz w:val="20"/>
      <w:szCs w:val="20"/>
      <w:lang w:val="en-GB"/>
      <w14:ligatures w14:val="standardContextual"/>
    </w:rPr>
  </w:style>
  <w:style w:type="paragraph" w:customStyle="1" w:styleId="TOC81">
    <w:name w:val="TOC 81"/>
    <w:basedOn w:val="Normal"/>
    <w:next w:val="Normal"/>
    <w:autoRedefine/>
    <w:uiPriority w:val="39"/>
    <w:unhideWhenUsed/>
    <w:rsid w:val="009C35B6"/>
    <w:pPr>
      <w:spacing w:line="259" w:lineRule="auto"/>
      <w:ind w:left="1320"/>
    </w:pPr>
    <w:rPr>
      <w:rFonts w:cs="Calibri"/>
      <w:kern w:val="2"/>
      <w:sz w:val="20"/>
      <w:szCs w:val="20"/>
      <w:lang w:val="en-GB"/>
      <w14:ligatures w14:val="standardContextual"/>
    </w:rPr>
  </w:style>
  <w:style w:type="paragraph" w:customStyle="1" w:styleId="TOC91">
    <w:name w:val="TOC 91"/>
    <w:basedOn w:val="Normal"/>
    <w:next w:val="Normal"/>
    <w:autoRedefine/>
    <w:uiPriority w:val="39"/>
    <w:unhideWhenUsed/>
    <w:rsid w:val="009C35B6"/>
    <w:pPr>
      <w:spacing w:line="259" w:lineRule="auto"/>
      <w:ind w:left="1540"/>
    </w:pPr>
    <w:rPr>
      <w:rFonts w:cs="Calibri"/>
      <w:kern w:val="2"/>
      <w:sz w:val="20"/>
      <w:szCs w:val="20"/>
      <w:lang w:val="en-GB"/>
      <w14:ligatures w14:val="standardContextual"/>
    </w:rPr>
  </w:style>
  <w:style w:type="table" w:customStyle="1" w:styleId="TableGridLight1">
    <w:name w:val="Table Grid Light1"/>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9C35B6"/>
    <w:rPr>
      <w:kern w:val="2"/>
      <w:sz w:val="22"/>
      <w:szCs w:val="22"/>
      <w:lang w:val="en-GB"/>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51">
    <w:name w:val="Grid Table 5 Dark - Accent 51"/>
    <w:basedOn w:val="TableNormal"/>
    <w:next w:val="GridTable5Dark-Accent5"/>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F0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B5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B5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B5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B5C4"/>
      </w:tcPr>
    </w:tblStylePr>
    <w:tblStylePr w:type="band1Vert">
      <w:tblPr/>
      <w:tcPr>
        <w:shd w:val="clear" w:color="auto" w:fill="B6E1E7"/>
      </w:tcPr>
    </w:tblStylePr>
    <w:tblStylePr w:type="band1Horz">
      <w:tblPr/>
      <w:tcPr>
        <w:shd w:val="clear" w:color="auto" w:fill="B6E1E7"/>
      </w:tcPr>
    </w:tblStylePr>
  </w:style>
  <w:style w:type="table" w:customStyle="1" w:styleId="TableGridLight21">
    <w:name w:val="Table Grid Light21"/>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1">
    <w:name w:val="Grid Table 5 Dark1"/>
    <w:basedOn w:val="TableNormal"/>
    <w:next w:val="GridTable5Dark"/>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4">
    <w:name w:val="Table Grid Light4"/>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5">
    <w:name w:val="Table Grid Light5"/>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9C35B6"/>
    <w:rPr>
      <w:kern w:val="2"/>
      <w:sz w:val="22"/>
      <w:szCs w:val="22"/>
      <w:lang w:val="en-GB"/>
      <w14:ligatures w14:val="standardContextual"/>
    </w:r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bCs/>
        <w:color w:val="FFFFFF"/>
      </w:rPr>
      <w:tblPr/>
      <w:tcPr>
        <w:tcBorders>
          <w:top w:val="single" w:sz="4" w:space="0" w:color="4AB5C4"/>
          <w:left w:val="single" w:sz="4" w:space="0" w:color="4AB5C4"/>
          <w:bottom w:val="single" w:sz="4" w:space="0" w:color="4AB5C4"/>
          <w:right w:val="single" w:sz="4" w:space="0" w:color="4AB5C4"/>
          <w:insideH w:val="nil"/>
          <w:insideV w:val="nil"/>
        </w:tcBorders>
        <w:shd w:val="clear" w:color="auto" w:fill="4AB5C4"/>
      </w:tcPr>
    </w:tblStylePr>
    <w:tblStylePr w:type="lastRow">
      <w:rPr>
        <w:b/>
        <w:bCs/>
      </w:rPr>
      <w:tblPr/>
      <w:tcPr>
        <w:tcBorders>
          <w:top w:val="double" w:sz="4" w:space="0" w:color="4AB5C4"/>
        </w:tcBorders>
      </w:tcPr>
    </w:tblStylePr>
    <w:tblStylePr w:type="firstCol">
      <w:rPr>
        <w:b/>
        <w:bCs/>
      </w:rPr>
    </w:tblStylePr>
    <w:tblStylePr w:type="lastCol">
      <w:rPr>
        <w:b/>
        <w:bCs/>
      </w:rPr>
    </w:tblStylePr>
    <w:tblStylePr w:type="band1Vert">
      <w:tblPr/>
      <w:tcPr>
        <w:shd w:val="clear" w:color="auto" w:fill="DAF0F3"/>
      </w:tcPr>
    </w:tblStylePr>
    <w:tblStylePr w:type="band1Horz">
      <w:tblPr/>
      <w:tcPr>
        <w:shd w:val="clear" w:color="auto" w:fill="DAF0F3"/>
      </w:tcPr>
    </w:tblStylePr>
  </w:style>
  <w:style w:type="table" w:customStyle="1" w:styleId="GridTable4-Accent41">
    <w:name w:val="Grid Table 4 - Accent 41"/>
    <w:basedOn w:val="TableNormal"/>
    <w:next w:val="GridTable4-Accent4"/>
    <w:uiPriority w:val="49"/>
    <w:rsid w:val="009C35B6"/>
    <w:rPr>
      <w:kern w:val="2"/>
      <w:sz w:val="22"/>
      <w:szCs w:val="22"/>
      <w:lang w:val="en-GB"/>
      <w14:ligatures w14:val="standardContextual"/>
    </w:r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insideV w:val="single" w:sz="4" w:space="0" w:color="2AFCCE"/>
      </w:tblBorders>
    </w:tblPr>
    <w:tblStylePr w:type="firstRow">
      <w:rPr>
        <w:b/>
        <w:bCs/>
        <w:color w:val="FFFFFF"/>
      </w:rPr>
      <w:tblPr/>
      <w:tcPr>
        <w:tcBorders>
          <w:top w:val="single" w:sz="4" w:space="0" w:color="029676"/>
          <w:left w:val="single" w:sz="4" w:space="0" w:color="029676"/>
          <w:bottom w:val="single" w:sz="4" w:space="0" w:color="029676"/>
          <w:right w:val="single" w:sz="4" w:space="0" w:color="029676"/>
          <w:insideH w:val="nil"/>
          <w:insideV w:val="nil"/>
        </w:tcBorders>
        <w:shd w:val="clear" w:color="auto" w:fill="029676"/>
      </w:tcPr>
    </w:tblStylePr>
    <w:tblStylePr w:type="lastRow">
      <w:rPr>
        <w:b/>
        <w:bCs/>
      </w:rPr>
      <w:tblPr/>
      <w:tcPr>
        <w:tcBorders>
          <w:top w:val="double" w:sz="4" w:space="0" w:color="029676"/>
        </w:tcBorders>
      </w:tcPr>
    </w:tblStylePr>
    <w:tblStylePr w:type="firstCol">
      <w:rPr>
        <w:b/>
        <w:bCs/>
      </w:rPr>
    </w:tblStylePr>
    <w:tblStylePr w:type="lastCol">
      <w:rPr>
        <w:b/>
        <w:bCs/>
      </w:rPr>
    </w:tblStylePr>
    <w:tblStylePr w:type="band1Vert">
      <w:tblPr/>
      <w:tcPr>
        <w:shd w:val="clear" w:color="auto" w:fill="B8FEEE"/>
      </w:tcPr>
    </w:tblStylePr>
    <w:tblStylePr w:type="band1Horz">
      <w:tblPr/>
      <w:tcPr>
        <w:shd w:val="clear" w:color="auto" w:fill="B8FEEE"/>
      </w:tcPr>
    </w:tblStylePr>
  </w:style>
  <w:style w:type="table" w:customStyle="1" w:styleId="GridTable5Dark-Accent61">
    <w:name w:val="Grid Table 5 Dark - Accent 61"/>
    <w:basedOn w:val="TableNormal"/>
    <w:next w:val="GridTable5Dark-Accent6"/>
    <w:uiPriority w:val="50"/>
    <w:rsid w:val="009C35B6"/>
    <w:rPr>
      <w:kern w:val="2"/>
      <w:sz w:val="22"/>
      <w:szCs w:val="22"/>
      <w:lang w:val="en-GB"/>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ED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989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989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989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989B1"/>
      </w:tcPr>
    </w:tblStylePr>
    <w:tblStylePr w:type="band1Vert">
      <w:tblPr/>
      <w:tcPr>
        <w:shd w:val="clear" w:color="auto" w:fill="83DCF8"/>
      </w:tcPr>
    </w:tblStylePr>
    <w:tblStylePr w:type="band1Horz">
      <w:tblPr/>
      <w:tcPr>
        <w:shd w:val="clear" w:color="auto" w:fill="83DCF8"/>
      </w:tcPr>
    </w:tblStylePr>
  </w:style>
  <w:style w:type="table" w:customStyle="1" w:styleId="GridTable6Colorful-Accent11">
    <w:name w:val="Grid Table 6 Colorful - Accent 11"/>
    <w:basedOn w:val="TableNormal"/>
    <w:next w:val="GridTable6Colorful-Accent1"/>
    <w:uiPriority w:val="51"/>
    <w:rsid w:val="009C35B6"/>
    <w:rPr>
      <w:color w:val="3E762A"/>
      <w:kern w:val="2"/>
      <w:sz w:val="22"/>
      <w:szCs w:val="22"/>
      <w:lang w:val="en-GB"/>
      <w14:ligatures w14:val="standardContextual"/>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rPr>
      <w:tblPr/>
      <w:tcPr>
        <w:tcBorders>
          <w:bottom w:val="single" w:sz="12" w:space="0" w:color="93D07C"/>
        </w:tcBorders>
      </w:tcPr>
    </w:tblStylePr>
    <w:tblStylePr w:type="lastRow">
      <w:rPr>
        <w:b/>
        <w:bCs/>
      </w:rPr>
      <w:tblPr/>
      <w:tcPr>
        <w:tcBorders>
          <w:top w:val="double" w:sz="4" w:space="0" w:color="93D07C"/>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 w:type="table" w:styleId="PlainTable5">
    <w:name w:val="Plain Table 5"/>
    <w:basedOn w:val="TableNormal"/>
    <w:uiPriority w:val="45"/>
    <w:rsid w:val="009C35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C35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C35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C35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C35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6">
    <w:name w:val="Grid Table 4 Accent 6"/>
    <w:basedOn w:val="TableNormal"/>
    <w:uiPriority w:val="49"/>
    <w:rsid w:val="009C35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1">
    <w:name w:val="List Table 3 Accent 1"/>
    <w:basedOn w:val="TableNormal"/>
    <w:uiPriority w:val="48"/>
    <w:rsid w:val="009C35B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3">
    <w:name w:val="Grid Table 5 Dark Accent 3"/>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1">
    <w:name w:val="Grid Table 4 Accent 1"/>
    <w:basedOn w:val="TableNormal"/>
    <w:uiPriority w:val="49"/>
    <w:rsid w:val="009C35B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9C35B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9C35B6"/>
    <w:rPr>
      <w:color w:val="954F72" w:themeColor="followedHyperlink"/>
      <w:u w:val="single"/>
    </w:rPr>
  </w:style>
  <w:style w:type="table" w:styleId="TableGridLight">
    <w:name w:val="Grid Table Light"/>
    <w:basedOn w:val="TableNormal"/>
    <w:uiPriority w:val="40"/>
    <w:rsid w:val="009C35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9C35B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9C35B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6">
    <w:name w:val="Grid Table 5 Dark Accent 6"/>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1">
    <w:name w:val="Grid Table 6 Colorful Accent 1"/>
    <w:basedOn w:val="TableNormal"/>
    <w:uiPriority w:val="51"/>
    <w:rsid w:val="009C35B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D063E"/>
    <w:rPr>
      <w:sz w:val="16"/>
      <w:szCs w:val="16"/>
    </w:rPr>
  </w:style>
  <w:style w:type="paragraph" w:styleId="CommentText">
    <w:name w:val="annotation text"/>
    <w:basedOn w:val="Normal"/>
    <w:link w:val="CommentTextChar"/>
    <w:uiPriority w:val="99"/>
    <w:unhideWhenUsed/>
    <w:rsid w:val="009D063E"/>
    <w:rPr>
      <w:sz w:val="20"/>
      <w:szCs w:val="20"/>
    </w:rPr>
  </w:style>
  <w:style w:type="character" w:customStyle="1" w:styleId="CommentTextChar">
    <w:name w:val="Comment Text Char"/>
    <w:basedOn w:val="DefaultParagraphFont"/>
    <w:link w:val="CommentText"/>
    <w:uiPriority w:val="99"/>
    <w:rsid w:val="009D063E"/>
    <w:rPr>
      <w:sz w:val="20"/>
      <w:szCs w:val="20"/>
    </w:rPr>
  </w:style>
  <w:style w:type="paragraph" w:styleId="CommentSubject">
    <w:name w:val="annotation subject"/>
    <w:basedOn w:val="CommentText"/>
    <w:next w:val="CommentText"/>
    <w:link w:val="CommentSubjectChar"/>
    <w:uiPriority w:val="99"/>
    <w:semiHidden/>
    <w:unhideWhenUsed/>
    <w:rsid w:val="009D063E"/>
    <w:rPr>
      <w:b/>
      <w:bCs/>
    </w:rPr>
  </w:style>
  <w:style w:type="character" w:customStyle="1" w:styleId="CommentSubjectChar">
    <w:name w:val="Comment Subject Char"/>
    <w:basedOn w:val="CommentTextChar"/>
    <w:link w:val="CommentSubject"/>
    <w:uiPriority w:val="99"/>
    <w:semiHidden/>
    <w:rsid w:val="009D0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nportal.ujn.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r-Cyrl-RS" sz="1200">
                <a:latin typeface="Arial" panose="020B0604020202020204" pitchFamily="34" charset="0"/>
                <a:cs typeface="Arial" panose="020B0604020202020204" pitchFamily="34" charset="0"/>
              </a:rPr>
              <a:t>Упоредни приказ примене врсте критеријума за доделу уговора исказан у процентима</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цена</c:v>
                </c:pt>
              </c:strCache>
            </c:strRef>
          </c:tx>
          <c:spPr>
            <a:solidFill>
              <a:srgbClr val="FF0000"/>
            </a:solidFill>
            <a:ln>
              <a:noFill/>
            </a:ln>
            <a:effectLst/>
            <a:sp3d/>
          </c:spPr>
          <c:invertIfNegative val="0"/>
          <c:dLbls>
            <c:dLbl>
              <c:idx val="0"/>
              <c:layout>
                <c:manualLayout>
                  <c:x val="4.4316419233325965E-2"/>
                  <c:y val="-4.7573739295908649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440948371371593"/>
                      <c:h val="9.1928447098251639E-2"/>
                    </c:manualLayout>
                  </c15:layout>
                </c:ext>
                <c:ext xmlns:c16="http://schemas.microsoft.com/office/drawing/2014/chart" uri="{C3380CC4-5D6E-409C-BE32-E72D297353CC}">
                  <c16:uniqueId val="{00000000-AA1D-4E03-B918-C3DE3FC2008C}"/>
                </c:ext>
              </c:extLst>
            </c:dLbl>
            <c:dLbl>
              <c:idx val="1"/>
              <c:layout>
                <c:manualLayout>
                  <c:x val="2.8805672501661824E-2"/>
                  <c:y val="-1.9029495718363494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1D-4E03-B918-C3DE3FC2008C}"/>
                </c:ext>
              </c:extLst>
            </c:dLbl>
            <c:dLbl>
              <c:idx val="2"/>
              <c:layout>
                <c:manualLayout>
                  <c:x val="2.4374030578329271E-2"/>
                  <c:y val="-2.2201078338090707E-2"/>
                </c:manualLayout>
              </c:layout>
              <c:tx>
                <c:rich>
                  <a:bodyPr/>
                  <a:lstStyle/>
                  <a:p>
                    <a:fld id="{7955B75A-BD6F-49A3-ADF3-12DD5FA20D18}" type="VALUE">
                      <a:rPr lang="en-US" sz="1400">
                        <a:latin typeface="Arial" panose="020B0604020202020204" pitchFamily="34" charset="0"/>
                        <a:cs typeface="Arial" panose="020B0604020202020204" pitchFamily="34"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A1D-4E03-B918-C3DE3FC2008C}"/>
                </c:ext>
              </c:extLst>
            </c:dLbl>
            <c:dLbl>
              <c:idx val="3"/>
              <c:layout>
                <c:manualLayout>
                  <c:x val="5.4287613560824274E-2"/>
                  <c:y val="-1.5857913098636205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515843119875912"/>
                      <c:h val="7.9242116619342662E-2"/>
                    </c:manualLayout>
                  </c15:layout>
                </c:ext>
                <c:ext xmlns:c16="http://schemas.microsoft.com/office/drawing/2014/chart" uri="{C3380CC4-5D6E-409C-BE32-E72D297353CC}">
                  <c16:uniqueId val="{00000003-AA1D-4E03-B918-C3DE3FC2008C}"/>
                </c:ext>
              </c:extLst>
            </c:dLbl>
            <c:dLbl>
              <c:idx val="4"/>
              <c:layout>
                <c:manualLayout>
                  <c:x val="4.9855971637491697E-2"/>
                  <c:y val="1.5857913098636239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737638074434138"/>
                      <c:h val="9.1928447098251639E-2"/>
                    </c:manualLayout>
                  </c15:layout>
                </c:ext>
                <c:ext xmlns:c16="http://schemas.microsoft.com/office/drawing/2014/chart" uri="{C3380CC4-5D6E-409C-BE32-E72D297353CC}">
                  <c16:uniqueId val="{00000004-AA1D-4E03-B918-C3DE3FC200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2020. година</c:v>
                </c:pt>
                <c:pt idx="1">
                  <c:v>2021. година</c:v>
                </c:pt>
                <c:pt idx="2">
                  <c:v>2022. година</c:v>
                </c:pt>
                <c:pt idx="3">
                  <c:v>2023. година</c:v>
                </c:pt>
                <c:pt idx="4">
                  <c:v>2024. година </c:v>
                </c:pt>
              </c:strCache>
            </c:strRef>
          </c:cat>
          <c:val>
            <c:numRef>
              <c:f>Sheet1!$B$2:$B$6</c:f>
              <c:numCache>
                <c:formatCode>0%</c:formatCode>
                <c:ptCount val="5"/>
                <c:pt idx="0">
                  <c:v>0.94</c:v>
                </c:pt>
                <c:pt idx="1">
                  <c:v>0.95</c:v>
                </c:pt>
                <c:pt idx="2">
                  <c:v>0.96</c:v>
                </c:pt>
                <c:pt idx="3" formatCode="0.00%">
                  <c:v>0.95540000000000003</c:v>
                </c:pt>
                <c:pt idx="4" formatCode="0.00%">
                  <c:v>0.90429999999999999</c:v>
                </c:pt>
              </c:numCache>
            </c:numRef>
          </c:val>
          <c:extLst>
            <c:ext xmlns:c16="http://schemas.microsoft.com/office/drawing/2014/chart" uri="{C3380CC4-5D6E-409C-BE32-E72D297353CC}">
              <c16:uniqueId val="{00000005-AA1D-4E03-B918-C3DE3FC2008C}"/>
            </c:ext>
          </c:extLst>
        </c:ser>
        <c:ser>
          <c:idx val="1"/>
          <c:order val="1"/>
          <c:tx>
            <c:strRef>
              <c:f>Sheet1!$C$1</c:f>
              <c:strCache>
                <c:ptCount val="1"/>
                <c:pt idx="0">
                  <c:v>однос цене и квалитета</c:v>
                </c:pt>
              </c:strCache>
            </c:strRef>
          </c:tx>
          <c:spPr>
            <a:solidFill>
              <a:schemeClr val="accent5"/>
            </a:solidFill>
            <a:ln>
              <a:noFill/>
            </a:ln>
            <a:effectLst/>
            <a:sp3d/>
          </c:spPr>
          <c:invertIfNegative val="0"/>
          <c:dLbls>
            <c:dLbl>
              <c:idx val="0"/>
              <c:layout>
                <c:manualLayout>
                  <c:x val="3.9884777309993312E-2"/>
                  <c:y val="-2.0615162162769731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52204741856859E-2"/>
                      <c:h val="9.8271612337706107E-2"/>
                    </c:manualLayout>
                  </c15:layout>
                </c:ext>
                <c:ext xmlns:c16="http://schemas.microsoft.com/office/drawing/2014/chart" uri="{C3380CC4-5D6E-409C-BE32-E72D297353CC}">
                  <c16:uniqueId val="{00000006-AA1D-4E03-B918-C3DE3FC2008C}"/>
                </c:ext>
              </c:extLst>
            </c:dLbl>
            <c:dLbl>
              <c:idx val="1"/>
              <c:layout>
                <c:manualLayout>
                  <c:x val="5.2071792599157986E-2"/>
                  <c:y val="-3.4887283951542211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1068025703523154E-2"/>
                      <c:h val="0.10144319495743336"/>
                    </c:manualLayout>
                  </c15:layout>
                </c:ext>
                <c:ext xmlns:c16="http://schemas.microsoft.com/office/drawing/2014/chart" uri="{C3380CC4-5D6E-409C-BE32-E72D297353CC}">
                  <c16:uniqueId val="{00000007-AA1D-4E03-B918-C3DE3FC2008C}"/>
                </c:ext>
              </c:extLst>
            </c:dLbl>
            <c:dLbl>
              <c:idx val="2"/>
              <c:layout>
                <c:manualLayout>
                  <c:x val="4.7640237912871128E-2"/>
                  <c:y val="-4.9159405740314813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9931309550188336E-2"/>
                      <c:h val="6.655578614043367E-2"/>
                    </c:manualLayout>
                  </c15:layout>
                </c:ext>
                <c:ext xmlns:c16="http://schemas.microsoft.com/office/drawing/2014/chart" uri="{C3380CC4-5D6E-409C-BE32-E72D297353CC}">
                  <c16:uniqueId val="{00000008-AA1D-4E03-B918-C3DE3FC2008C}"/>
                </c:ext>
              </c:extLst>
            </c:dLbl>
            <c:dLbl>
              <c:idx val="3"/>
              <c:layout>
                <c:manualLayout>
                  <c:x val="4.6532065720900691E-2"/>
                  <c:y val="-3.012991002195134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CBC0E6D-91DF-41E6-81DD-A3B986EA2950}" type="VALUE">
                      <a:rPr lang="en-US" sz="1400">
                        <a:latin typeface="Arial" panose="020B0604020202020204" pitchFamily="34" charset="0"/>
                        <a:cs typeface="Arial" panose="020B0604020202020204" pitchFamily="34" charset="0"/>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062477427414416"/>
                      <c:h val="9.8271612337706107E-2"/>
                    </c:manualLayout>
                  </c15:layout>
                  <c15:dlblFieldTable/>
                  <c15:showDataLabelsRange val="0"/>
                </c:ext>
                <c:ext xmlns:c16="http://schemas.microsoft.com/office/drawing/2014/chart" uri="{C3380CC4-5D6E-409C-BE32-E72D297353CC}">
                  <c16:uniqueId val="{00000009-AA1D-4E03-B918-C3DE3FC2008C}"/>
                </c:ext>
              </c:extLst>
            </c:dLbl>
            <c:dLbl>
              <c:idx val="4"/>
              <c:layout>
                <c:manualLayout>
                  <c:x val="5.8719255484156879E-2"/>
                  <c:y val="-9.514622993724263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840895331247787"/>
                      <c:h val="9.510002971797886E-2"/>
                    </c:manualLayout>
                  </c15:layout>
                </c:ext>
                <c:ext xmlns:c16="http://schemas.microsoft.com/office/drawing/2014/chart" uri="{C3380CC4-5D6E-409C-BE32-E72D297353CC}">
                  <c16:uniqueId val="{0000000A-AA1D-4E03-B918-C3DE3FC200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2020. година</c:v>
                </c:pt>
                <c:pt idx="1">
                  <c:v>2021. година</c:v>
                </c:pt>
                <c:pt idx="2">
                  <c:v>2022. година</c:v>
                </c:pt>
                <c:pt idx="3">
                  <c:v>2023. година</c:v>
                </c:pt>
                <c:pt idx="4">
                  <c:v>2024. година </c:v>
                </c:pt>
              </c:strCache>
            </c:strRef>
          </c:cat>
          <c:val>
            <c:numRef>
              <c:f>Sheet1!$C$2:$C$6</c:f>
              <c:numCache>
                <c:formatCode>0%</c:formatCode>
                <c:ptCount val="5"/>
                <c:pt idx="0">
                  <c:v>0.06</c:v>
                </c:pt>
                <c:pt idx="1">
                  <c:v>0.05</c:v>
                </c:pt>
                <c:pt idx="2">
                  <c:v>0.04</c:v>
                </c:pt>
                <c:pt idx="3" formatCode="0.00%">
                  <c:v>4.4600000000000001E-2</c:v>
                </c:pt>
                <c:pt idx="4" formatCode="0.00%">
                  <c:v>9.5699999999999993E-2</c:v>
                </c:pt>
              </c:numCache>
            </c:numRef>
          </c:val>
          <c:extLst>
            <c:ext xmlns:c16="http://schemas.microsoft.com/office/drawing/2014/chart" uri="{C3380CC4-5D6E-409C-BE32-E72D297353CC}">
              <c16:uniqueId val="{0000000B-AA1D-4E03-B918-C3DE3FC2008C}"/>
            </c:ext>
          </c:extLst>
        </c:ser>
        <c:dLbls>
          <c:showLegendKey val="0"/>
          <c:showVal val="1"/>
          <c:showCatName val="0"/>
          <c:showSerName val="0"/>
          <c:showPercent val="0"/>
          <c:showBubbleSize val="0"/>
        </c:dLbls>
        <c:gapWidth val="150"/>
        <c:shape val="box"/>
        <c:axId val="409160656"/>
        <c:axId val="256563984"/>
        <c:axId val="0"/>
      </c:bar3DChart>
      <c:catAx>
        <c:axId val="409160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56563984"/>
        <c:crosses val="autoZero"/>
        <c:auto val="1"/>
        <c:lblAlgn val="ctr"/>
        <c:lblOffset val="100"/>
        <c:noMultiLvlLbl val="0"/>
      </c:catAx>
      <c:valAx>
        <c:axId val="2565639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16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Упоредни приказ критеријума</a:t>
            </a:r>
            <a:r>
              <a:rPr lang="sr-Cyrl-RS" baseline="0"/>
              <a:t> ЕНП исказан у броју поступака јавних набавки</a:t>
            </a:r>
            <a:r>
              <a:rPr lang="sr-Cyrl-RS"/>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добра</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 година</c:v>
                </c:pt>
                <c:pt idx="1">
                  <c:v>2021. година</c:v>
                </c:pt>
                <c:pt idx="2">
                  <c:v>2022. година</c:v>
                </c:pt>
                <c:pt idx="3">
                  <c:v>2023. година</c:v>
                </c:pt>
                <c:pt idx="4">
                  <c:v>2024. година</c:v>
                </c:pt>
              </c:strCache>
            </c:strRef>
          </c:cat>
          <c:val>
            <c:numRef>
              <c:f>Sheet1!$B$2:$B$6</c:f>
              <c:numCache>
                <c:formatCode>General</c:formatCode>
                <c:ptCount val="5"/>
                <c:pt idx="0">
                  <c:v>222</c:v>
                </c:pt>
                <c:pt idx="1">
                  <c:v>893</c:v>
                </c:pt>
                <c:pt idx="2">
                  <c:v>917</c:v>
                </c:pt>
                <c:pt idx="3">
                  <c:v>884</c:v>
                </c:pt>
                <c:pt idx="4">
                  <c:v>816</c:v>
                </c:pt>
              </c:numCache>
            </c:numRef>
          </c:val>
          <c:extLst>
            <c:ext xmlns:c16="http://schemas.microsoft.com/office/drawing/2014/chart" uri="{C3380CC4-5D6E-409C-BE32-E72D297353CC}">
              <c16:uniqueId val="{00000000-CC12-411A-A3F1-256CE654AB01}"/>
            </c:ext>
          </c:extLst>
        </c:ser>
        <c:ser>
          <c:idx val="1"/>
          <c:order val="1"/>
          <c:tx>
            <c:strRef>
              <c:f>Sheet1!$C$1</c:f>
              <c:strCache>
                <c:ptCount val="1"/>
                <c:pt idx="0">
                  <c:v>услуге</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 година</c:v>
                </c:pt>
                <c:pt idx="1">
                  <c:v>2021. година</c:v>
                </c:pt>
                <c:pt idx="2">
                  <c:v>2022. година</c:v>
                </c:pt>
                <c:pt idx="3">
                  <c:v>2023. година</c:v>
                </c:pt>
                <c:pt idx="4">
                  <c:v>2024. година</c:v>
                </c:pt>
              </c:strCache>
            </c:strRef>
          </c:cat>
          <c:val>
            <c:numRef>
              <c:f>Sheet1!$C$2:$C$6</c:f>
              <c:numCache>
                <c:formatCode>General</c:formatCode>
                <c:ptCount val="5"/>
                <c:pt idx="0">
                  <c:v>280</c:v>
                </c:pt>
                <c:pt idx="1">
                  <c:v>1392</c:v>
                </c:pt>
                <c:pt idx="2">
                  <c:v>1190</c:v>
                </c:pt>
                <c:pt idx="3">
                  <c:v>1125</c:v>
                </c:pt>
                <c:pt idx="4">
                  <c:v>2589</c:v>
                </c:pt>
              </c:numCache>
            </c:numRef>
          </c:val>
          <c:extLst>
            <c:ext xmlns:c16="http://schemas.microsoft.com/office/drawing/2014/chart" uri="{C3380CC4-5D6E-409C-BE32-E72D297353CC}">
              <c16:uniqueId val="{00000001-CC12-411A-A3F1-256CE654AB01}"/>
            </c:ext>
          </c:extLst>
        </c:ser>
        <c:ser>
          <c:idx val="2"/>
          <c:order val="2"/>
          <c:tx>
            <c:strRef>
              <c:f>Sheet1!$D$1</c:f>
              <c:strCache>
                <c:ptCount val="1"/>
                <c:pt idx="0">
                  <c:v>радови</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 година</c:v>
                </c:pt>
                <c:pt idx="1">
                  <c:v>2021. година</c:v>
                </c:pt>
                <c:pt idx="2">
                  <c:v>2022. година</c:v>
                </c:pt>
                <c:pt idx="3">
                  <c:v>2023. година</c:v>
                </c:pt>
                <c:pt idx="4">
                  <c:v>2024. година</c:v>
                </c:pt>
              </c:strCache>
            </c:strRef>
          </c:cat>
          <c:val>
            <c:numRef>
              <c:f>Sheet1!$D$2:$D$6</c:f>
              <c:numCache>
                <c:formatCode>General</c:formatCode>
                <c:ptCount val="5"/>
                <c:pt idx="0">
                  <c:v>27</c:v>
                </c:pt>
                <c:pt idx="1">
                  <c:v>150</c:v>
                </c:pt>
                <c:pt idx="2">
                  <c:v>131</c:v>
                </c:pt>
                <c:pt idx="3">
                  <c:v>130</c:v>
                </c:pt>
                <c:pt idx="4">
                  <c:v>102</c:v>
                </c:pt>
              </c:numCache>
            </c:numRef>
          </c:val>
          <c:extLst>
            <c:ext xmlns:c16="http://schemas.microsoft.com/office/drawing/2014/chart" uri="{C3380CC4-5D6E-409C-BE32-E72D297353CC}">
              <c16:uniqueId val="{00000002-CC12-411A-A3F1-256CE654AB01}"/>
            </c:ext>
          </c:extLst>
        </c:ser>
        <c:dLbls>
          <c:showLegendKey val="0"/>
          <c:showVal val="0"/>
          <c:showCatName val="0"/>
          <c:showSerName val="0"/>
          <c:showPercent val="0"/>
          <c:showBubbleSize val="0"/>
        </c:dLbls>
        <c:gapWidth val="182"/>
        <c:axId val="621387359"/>
        <c:axId val="621394079"/>
      </c:barChart>
      <c:catAx>
        <c:axId val="621387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394079"/>
        <c:crosses val="autoZero"/>
        <c:auto val="1"/>
        <c:lblAlgn val="ctr"/>
        <c:lblOffset val="100"/>
        <c:noMultiLvlLbl val="0"/>
      </c:catAx>
      <c:valAx>
        <c:axId val="6213940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387359"/>
        <c:crosses val="autoZero"/>
        <c:crossBetween val="between"/>
      </c:valAx>
      <c:spPr>
        <a:noFill/>
        <a:ln w="6350" cap="flat" cmpd="sng" algn="ctr">
          <a:solidFill>
            <a:schemeClr val="accent6"/>
          </a:solidFill>
          <a:prstDash val="solid"/>
          <a:miter lim="800000"/>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Series 1</c:v>
                </c:pt>
              </c:strCache>
            </c:strRef>
          </c:tx>
          <c:spPr>
            <a:solidFill>
              <a:srgbClr val="FFFF00"/>
            </a:solidFill>
            <a:ln>
              <a:noFill/>
            </a:ln>
            <a:effectLst/>
            <a:sp3d/>
          </c:spPr>
          <c:invertIfNegative val="0"/>
          <c:dPt>
            <c:idx val="1"/>
            <c:invertIfNegative val="0"/>
            <c:bubble3D val="0"/>
            <c:spPr>
              <a:solidFill>
                <a:schemeClr val="accent1"/>
              </a:solidFill>
              <a:ln>
                <a:noFill/>
              </a:ln>
              <a:effectLst/>
              <a:sp3d/>
            </c:spPr>
            <c:extLst>
              <c:ext xmlns:c16="http://schemas.microsoft.com/office/drawing/2014/chart" uri="{C3380CC4-5D6E-409C-BE32-E72D297353CC}">
                <c16:uniqueId val="{00000001-E144-4CAD-A891-DA78DB05EC74}"/>
              </c:ext>
            </c:extLst>
          </c:dPt>
          <c:dPt>
            <c:idx val="2"/>
            <c:invertIfNegative val="0"/>
            <c:bubble3D val="0"/>
            <c:spPr>
              <a:solidFill>
                <a:srgbClr val="0070C0"/>
              </a:solidFill>
              <a:ln>
                <a:noFill/>
              </a:ln>
              <a:effectLst/>
              <a:sp3d/>
            </c:spPr>
            <c:extLst>
              <c:ext xmlns:c16="http://schemas.microsoft.com/office/drawing/2014/chart" uri="{C3380CC4-5D6E-409C-BE32-E72D297353CC}">
                <c16:uniqueId val="{00000003-E144-4CAD-A891-DA78DB05EC74}"/>
              </c:ext>
            </c:extLst>
          </c:dPt>
          <c:dPt>
            <c:idx val="3"/>
            <c:invertIfNegative val="0"/>
            <c:bubble3D val="0"/>
            <c:spPr>
              <a:solidFill>
                <a:schemeClr val="bg2">
                  <a:lumMod val="50000"/>
                </a:schemeClr>
              </a:solidFill>
              <a:ln>
                <a:noFill/>
              </a:ln>
              <a:effectLst/>
              <a:sp3d/>
            </c:spPr>
            <c:extLst>
              <c:ext xmlns:c16="http://schemas.microsoft.com/office/drawing/2014/chart" uri="{C3380CC4-5D6E-409C-BE32-E72D297353CC}">
                <c16:uniqueId val="{00000005-E144-4CAD-A891-DA78DB05EC74}"/>
              </c:ext>
            </c:extLst>
          </c:dPt>
          <c:dPt>
            <c:idx val="4"/>
            <c:invertIfNegative val="0"/>
            <c:bubble3D val="0"/>
            <c:spPr>
              <a:solidFill>
                <a:srgbClr val="FF0000"/>
              </a:solidFill>
              <a:ln>
                <a:noFill/>
              </a:ln>
              <a:effectLst/>
              <a:sp3d/>
            </c:spPr>
            <c:extLst>
              <c:ext xmlns:c16="http://schemas.microsoft.com/office/drawing/2014/chart" uri="{C3380CC4-5D6E-409C-BE32-E72D297353CC}">
                <c16:uniqueId val="{00000007-E144-4CAD-A891-DA78DB05EC74}"/>
              </c:ext>
            </c:extLst>
          </c:dPt>
          <c:dLbls>
            <c:dLbl>
              <c:idx val="0"/>
              <c:layout>
                <c:manualLayout>
                  <c:x val="2.7777777777777735E-2"/>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44-4CAD-A891-DA78DB05EC74}"/>
                </c:ext>
              </c:extLst>
            </c:dLbl>
            <c:dLbl>
              <c:idx val="1"/>
              <c:layout>
                <c:manualLayout>
                  <c:x val="3.0092592592592636E-2"/>
                  <c:y val="-8.333333333333348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44-4CAD-A891-DA78DB05EC74}"/>
                </c:ext>
              </c:extLst>
            </c:dLbl>
            <c:dLbl>
              <c:idx val="2"/>
              <c:layout>
                <c:manualLayout>
                  <c:x val="2.3148148148148147E-2"/>
                  <c:y val="-7.936507936507936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44-4CAD-A891-DA78DB05EC74}"/>
                </c:ext>
              </c:extLst>
            </c:dLbl>
            <c:dLbl>
              <c:idx val="3"/>
              <c:layout>
                <c:manualLayout>
                  <c:x val="6.9444444444444441E-3"/>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44-4CAD-A891-DA78DB05EC74}"/>
                </c:ext>
              </c:extLst>
            </c:dLbl>
            <c:dLbl>
              <c:idx val="4"/>
              <c:layout>
                <c:manualLayout>
                  <c:x val="9.7222222222222057E-2"/>
                  <c:y val="-0.45177821522309708"/>
                </c:manualLayout>
              </c:layout>
              <c:tx>
                <c:rich>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a:t>45%</a:t>
                    </a:r>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5"/>
                      <c:h val="7.9305711786026745E-2"/>
                    </c:manualLayout>
                  </c15:layout>
                  <c15:showDataLabelsRange val="0"/>
                </c:ext>
                <c:ext xmlns:c16="http://schemas.microsoft.com/office/drawing/2014/chart" uri="{C3380CC4-5D6E-409C-BE32-E72D297353CC}">
                  <c16:uniqueId val="{00000007-E144-4CAD-A891-DA78DB05EC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 година</c:v>
                </c:pt>
                <c:pt idx="1">
                  <c:v>2021. година</c:v>
                </c:pt>
                <c:pt idx="2">
                  <c:v>2022. година</c:v>
                </c:pt>
                <c:pt idx="3">
                  <c:v>2023. година</c:v>
                </c:pt>
                <c:pt idx="4">
                  <c:v>2024. година</c:v>
                </c:pt>
              </c:strCache>
            </c:strRef>
          </c:cat>
          <c:val>
            <c:numRef>
              <c:f>Sheet1!$B$2:$B$6</c:f>
              <c:numCache>
                <c:formatCode>0.00%</c:formatCode>
                <c:ptCount val="5"/>
                <c:pt idx="0">
                  <c:v>2.4299999999999999E-2</c:v>
                </c:pt>
                <c:pt idx="1">
                  <c:v>3.32E-2</c:v>
                </c:pt>
                <c:pt idx="2">
                  <c:v>2.7699999999999999E-2</c:v>
                </c:pt>
                <c:pt idx="3">
                  <c:v>2.3E-2</c:v>
                </c:pt>
                <c:pt idx="4" formatCode="0%">
                  <c:v>0.45</c:v>
                </c:pt>
              </c:numCache>
            </c:numRef>
          </c:val>
          <c:extLst>
            <c:ext xmlns:c16="http://schemas.microsoft.com/office/drawing/2014/chart" uri="{C3380CC4-5D6E-409C-BE32-E72D297353CC}">
              <c16:uniqueId val="{00000009-E144-4CAD-A891-DA78DB05EC74}"/>
            </c:ext>
          </c:extLst>
        </c:ser>
        <c:dLbls>
          <c:showLegendKey val="0"/>
          <c:showVal val="1"/>
          <c:showCatName val="0"/>
          <c:showSerName val="0"/>
          <c:showPercent val="0"/>
          <c:showBubbleSize val="0"/>
        </c:dLbls>
        <c:gapWidth val="150"/>
        <c:shape val="box"/>
        <c:axId val="1395508447"/>
        <c:axId val="1395498367"/>
        <c:axId val="0"/>
      </c:bar3DChart>
      <c:catAx>
        <c:axId val="13955084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498367"/>
        <c:crosses val="autoZero"/>
        <c:auto val="1"/>
        <c:lblAlgn val="ctr"/>
        <c:lblOffset val="100"/>
        <c:noMultiLvlLbl val="0"/>
      </c:catAx>
      <c:valAx>
        <c:axId val="13954983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508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ADEC-485D-A510-B6EBADDAF1D5}"/>
              </c:ext>
            </c:extLst>
          </c:dPt>
          <c:dPt>
            <c:idx val="1"/>
            <c:invertIfNegative val="0"/>
            <c:bubble3D val="0"/>
            <c:spPr>
              <a:solidFill>
                <a:srgbClr val="92D050"/>
              </a:solidFill>
              <a:ln>
                <a:noFill/>
              </a:ln>
              <a:effectLst/>
            </c:spPr>
            <c:extLst>
              <c:ext xmlns:c16="http://schemas.microsoft.com/office/drawing/2014/chart" uri="{C3380CC4-5D6E-409C-BE32-E72D297353CC}">
                <c16:uniqueId val="{00000004-ADEC-485D-A510-B6EBADDAF1D5}"/>
              </c:ext>
            </c:extLst>
          </c:dPt>
          <c:dPt>
            <c:idx val="2"/>
            <c:invertIfNegative val="0"/>
            <c:bubble3D val="0"/>
            <c:spPr>
              <a:solidFill>
                <a:srgbClr val="00B0F0"/>
              </a:solidFill>
              <a:ln>
                <a:noFill/>
              </a:ln>
              <a:effectLst/>
            </c:spPr>
            <c:extLst>
              <c:ext xmlns:c16="http://schemas.microsoft.com/office/drawing/2014/chart" uri="{C3380CC4-5D6E-409C-BE32-E72D297353CC}">
                <c16:uniqueId val="{00000005-ADEC-485D-A510-B6EBADDAF1D5}"/>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6-ADEC-485D-A510-B6EBADDAF1D5}"/>
              </c:ext>
            </c:extLst>
          </c:dPt>
          <c:dPt>
            <c:idx val="4"/>
            <c:invertIfNegative val="0"/>
            <c:bubble3D val="0"/>
            <c:spPr>
              <a:solidFill>
                <a:srgbClr val="FFFF00"/>
              </a:solidFill>
              <a:ln>
                <a:noFill/>
              </a:ln>
              <a:effectLst/>
            </c:spPr>
            <c:extLst>
              <c:ext xmlns:c16="http://schemas.microsoft.com/office/drawing/2014/chart" uri="{C3380CC4-5D6E-409C-BE32-E72D297353CC}">
                <c16:uniqueId val="{00000007-ADEC-485D-A510-B6EBADDAF1D5}"/>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A747A52-45B4-45C5-8DD3-5B0E1DEB5329}" type="VALUE">
                      <a:rPr lang="en-US" sz="1400">
                        <a:latin typeface="Arial" panose="020B0604020202020204" pitchFamily="34" charset="0"/>
                        <a:cs typeface="Arial" panose="020B0604020202020204" pitchFamily="34" charset="0"/>
                      </a:rPr>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ADEC-485D-A510-B6EBADDAF1D5}"/>
                </c:ext>
              </c:extLst>
            </c:dLbl>
            <c:dLbl>
              <c:idx val="1"/>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4-ADEC-485D-A510-B6EBADDAF1D5}"/>
                </c:ext>
              </c:extLst>
            </c:dLbl>
            <c:dLbl>
              <c:idx val="2"/>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ADEC-485D-A510-B6EBADDAF1D5}"/>
                </c:ext>
              </c:extLst>
            </c:dLbl>
            <c:dLbl>
              <c:idx val="3"/>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6-ADEC-485D-A510-B6EBADDAF1D5}"/>
                </c:ext>
              </c:extLst>
            </c:dLbl>
            <c:dLbl>
              <c:idx val="4"/>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7-ADEC-485D-A510-B6EBADDAF1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услуге одржавања и поправки</c:v>
                </c:pt>
                <c:pt idx="1">
                  <c:v>нафтни деривати, гориво, електрична енергија</c:v>
                </c:pt>
                <c:pt idx="2">
                  <c:v>услуге информационе технологије</c:v>
                </c:pt>
                <c:pt idx="3">
                  <c:v>медицинска опрема</c:v>
                </c:pt>
                <c:pt idx="4">
                  <c:v>грађевински радови</c:v>
                </c:pt>
              </c:strCache>
            </c:strRef>
          </c:cat>
          <c:val>
            <c:numRef>
              <c:f>Sheet1!$B$2:$B$6</c:f>
              <c:numCache>
                <c:formatCode>0.00%</c:formatCode>
                <c:ptCount val="5"/>
                <c:pt idx="0" formatCode="0%">
                  <c:v>0.28000000000000003</c:v>
                </c:pt>
                <c:pt idx="1">
                  <c:v>0.1154</c:v>
                </c:pt>
                <c:pt idx="2">
                  <c:v>7.2999999999999995E-2</c:v>
                </c:pt>
                <c:pt idx="3">
                  <c:v>6.3E-2</c:v>
                </c:pt>
                <c:pt idx="4">
                  <c:v>6.1499999999999999E-2</c:v>
                </c:pt>
              </c:numCache>
            </c:numRef>
          </c:val>
          <c:extLst>
            <c:ext xmlns:c16="http://schemas.microsoft.com/office/drawing/2014/chart" uri="{C3380CC4-5D6E-409C-BE32-E72D297353CC}">
              <c16:uniqueId val="{00000000-ADEC-485D-A510-B6EBADDAF1D5}"/>
            </c:ext>
          </c:extLst>
        </c:ser>
        <c:dLbls>
          <c:showLegendKey val="0"/>
          <c:showVal val="0"/>
          <c:showCatName val="0"/>
          <c:showSerName val="0"/>
          <c:showPercent val="0"/>
          <c:showBubbleSize val="0"/>
        </c:dLbls>
        <c:gapWidth val="219"/>
        <c:overlap val="-27"/>
        <c:axId val="1666953904"/>
        <c:axId val="1664656592"/>
      </c:barChart>
      <c:catAx>
        <c:axId val="166695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656592"/>
        <c:crosses val="autoZero"/>
        <c:auto val="1"/>
        <c:lblAlgn val="ctr"/>
        <c:lblOffset val="100"/>
        <c:noMultiLvlLbl val="0"/>
      </c:catAx>
      <c:valAx>
        <c:axId val="1664656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953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3.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4.xml><?xml version="1.0" encoding="utf-8"?>
<ds:datastoreItem xmlns:ds="http://schemas.openxmlformats.org/officeDocument/2006/customXml" ds:itemID="{DE2204C3-E780-409F-89F3-5D35577F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36</Pages>
  <Words>5322</Words>
  <Characters>30338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Dariusz Piasta</cp:lastModifiedBy>
  <cp:revision>13</cp:revision>
  <cp:lastPrinted>2024-12-12T11:03:00Z</cp:lastPrinted>
  <dcterms:created xsi:type="dcterms:W3CDTF">2024-12-12T09:47:00Z</dcterms:created>
  <dcterms:modified xsi:type="dcterms:W3CDTF">2024-12-13T12:26:00Z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